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EE36" w14:textId="77777777" w:rsidR="00FD6C3B" w:rsidRDefault="00FD6C3B" w:rsidP="00FD6C3B">
      <w:pPr>
        <w:rPr>
          <w:b/>
          <w:bCs/>
        </w:rPr>
      </w:pPr>
    </w:p>
    <w:p w14:paraId="759BFF86" w14:textId="669894F1" w:rsidR="00FD6C3B" w:rsidRDefault="00FD6C3B" w:rsidP="00FD6C3B">
      <w:pPr>
        <w:jc w:val="center"/>
        <w:rPr>
          <w:b/>
          <w:bCs/>
        </w:rPr>
      </w:pPr>
      <w:r w:rsidRPr="00FD6C3B">
        <w:rPr>
          <w:b/>
          <w:bCs/>
        </w:rPr>
        <w:t xml:space="preserve">Règlement </w:t>
      </w:r>
      <w:r w:rsidR="005D3E81">
        <w:rPr>
          <w:b/>
          <w:bCs/>
        </w:rPr>
        <w:t xml:space="preserve">du </w:t>
      </w:r>
      <w:r w:rsidRPr="00FD6C3B">
        <w:rPr>
          <w:b/>
          <w:bCs/>
        </w:rPr>
        <w:t>Prix de la médiation scientifique</w:t>
      </w:r>
      <w:r w:rsidR="006F7605">
        <w:rPr>
          <w:b/>
          <w:bCs/>
        </w:rPr>
        <w:t xml:space="preserve"> et culturelle</w:t>
      </w:r>
      <w:r>
        <w:rPr>
          <w:b/>
          <w:bCs/>
        </w:rPr>
        <w:t xml:space="preserve"> édition 2025-2026</w:t>
      </w:r>
    </w:p>
    <w:p w14:paraId="574E8D9A" w14:textId="654A15FB" w:rsidR="00FD6C3B" w:rsidRPr="00FD6C3B" w:rsidRDefault="00FD6C3B" w:rsidP="00FD6C3B">
      <w:pPr>
        <w:jc w:val="center"/>
        <w:rPr>
          <w:b/>
          <w:bCs/>
        </w:rPr>
      </w:pPr>
      <w:proofErr w:type="gramStart"/>
      <w:r>
        <w:rPr>
          <w:b/>
          <w:bCs/>
        </w:rPr>
        <w:t>décerné</w:t>
      </w:r>
      <w:proofErr w:type="gramEnd"/>
      <w:r>
        <w:rPr>
          <w:b/>
          <w:bCs/>
        </w:rPr>
        <w:t xml:space="preserve"> par le Comité d’histoire des administrations chargées de la santé (CHAS)</w:t>
      </w:r>
    </w:p>
    <w:p w14:paraId="1095F07A" w14:textId="77777777" w:rsidR="00FD6C3B" w:rsidRDefault="00FD6C3B" w:rsidP="00FD6C3B">
      <w:pPr>
        <w:jc w:val="both"/>
        <w:rPr>
          <w:b/>
          <w:bCs/>
        </w:rPr>
      </w:pPr>
    </w:p>
    <w:p w14:paraId="7CA6B841" w14:textId="5B647CBB" w:rsidR="00FD6C3B" w:rsidRPr="00FD6C3B" w:rsidRDefault="00FD6C3B" w:rsidP="00FD6C3B">
      <w:pPr>
        <w:jc w:val="both"/>
      </w:pPr>
      <w:r w:rsidRPr="00126D58">
        <w:rPr>
          <w:b/>
          <w:bCs/>
        </w:rPr>
        <w:t>Préambule</w:t>
      </w:r>
      <w:r w:rsidRPr="00FD6C3B">
        <w:br/>
        <w:t>Le Comité d’</w:t>
      </w:r>
      <w:r w:rsidR="00AF4A2D">
        <w:t>h</w:t>
      </w:r>
      <w:r w:rsidRPr="00FD6C3B">
        <w:t xml:space="preserve">istoire des </w:t>
      </w:r>
      <w:r w:rsidR="00AF4A2D">
        <w:t>a</w:t>
      </w:r>
      <w:r w:rsidRPr="00FD6C3B">
        <w:t xml:space="preserve">dministrations </w:t>
      </w:r>
      <w:r w:rsidR="008F3A1C">
        <w:t xml:space="preserve">chargées </w:t>
      </w:r>
      <w:r w:rsidRPr="00FD6C3B">
        <w:t xml:space="preserve">de la </w:t>
      </w:r>
      <w:r w:rsidR="00AF4A2D">
        <w:t>s</w:t>
      </w:r>
      <w:r w:rsidRPr="00FD6C3B">
        <w:t xml:space="preserve">anté (CHAS) a institué </w:t>
      </w:r>
      <w:r w:rsidR="00AF4A2D">
        <w:t>un</w:t>
      </w:r>
      <w:r w:rsidR="00AF4A2D" w:rsidRPr="00FD6C3B">
        <w:t xml:space="preserve"> </w:t>
      </w:r>
      <w:r w:rsidRPr="00FD6C3B">
        <w:t xml:space="preserve">Prix de la médiation scientifique </w:t>
      </w:r>
      <w:r w:rsidR="006F7605">
        <w:t xml:space="preserve">et culturelle </w:t>
      </w:r>
      <w:r w:rsidRPr="00FD6C3B">
        <w:t xml:space="preserve">pour encourager et récompenser des initiatives innovantes qui rendent accessibles les connaissances scientifiques relatives à l’histoire des politiques et administrations </w:t>
      </w:r>
      <w:r w:rsidR="008F3A1C">
        <w:t xml:space="preserve">chargées </w:t>
      </w:r>
      <w:r w:rsidRPr="00FD6C3B">
        <w:t xml:space="preserve">de la santé. Ce prix vise à reconnaître les efforts des jeunes chercheurs et des collectifs de </w:t>
      </w:r>
      <w:r w:rsidR="008F3A1C">
        <w:t>jeunes chercheurs</w:t>
      </w:r>
      <w:r w:rsidRPr="00FD6C3B">
        <w:t xml:space="preserve"> qui, par leurs </w:t>
      </w:r>
      <w:r w:rsidR="00AF4A2D">
        <w:t>réalisations</w:t>
      </w:r>
      <w:r w:rsidRPr="00FD6C3B">
        <w:t>, établissent un pont entre la recherche scientifique et la société, dans un esprit de vulgarisation et de transmission.</w:t>
      </w:r>
    </w:p>
    <w:p w14:paraId="22F78A21" w14:textId="284CA644" w:rsidR="00FD6C3B" w:rsidRPr="00FD6C3B" w:rsidRDefault="00FD6C3B" w:rsidP="00FD6C3B">
      <w:pPr>
        <w:jc w:val="both"/>
      </w:pPr>
      <w:r w:rsidRPr="00FD6C3B">
        <w:t>La médiation scientifique</w:t>
      </w:r>
      <w:r w:rsidR="006F7605">
        <w:t xml:space="preserve"> et culturelle</w:t>
      </w:r>
      <w:r w:rsidRPr="00FD6C3B">
        <w:t>, en favorisant une meilleure compréhension des enjeux historiques et sociaux de la santé, constitue un levier essentiel pour renforcer le dialogue entre le monde académique, les institutions et le grand public. Ce prix, créé par le CHAS, reflète cet engagement et vise à mettre en lumière des projets exemplaires susceptibles de contribuer à la démocratisation des savoirs.</w:t>
      </w:r>
    </w:p>
    <w:p w14:paraId="0D7AD8DA" w14:textId="2D075DA5" w:rsidR="00FD6C3B" w:rsidRPr="00FD6C3B" w:rsidRDefault="00FD6C3B" w:rsidP="00FD6C3B">
      <w:pPr>
        <w:jc w:val="both"/>
      </w:pPr>
    </w:p>
    <w:p w14:paraId="3CDDD3E6" w14:textId="432308FC" w:rsidR="00FD6C3B" w:rsidRPr="00FD6C3B" w:rsidRDefault="00FD6C3B" w:rsidP="00FD6C3B">
      <w:pPr>
        <w:jc w:val="both"/>
        <w:rPr>
          <w:b/>
          <w:bCs/>
        </w:rPr>
      </w:pPr>
      <w:r w:rsidRPr="00FD6C3B">
        <w:rPr>
          <w:b/>
          <w:bCs/>
        </w:rPr>
        <w:t xml:space="preserve">Article 1 – Objet du prix et nature des </w:t>
      </w:r>
      <w:r w:rsidR="008F3A1C">
        <w:rPr>
          <w:b/>
          <w:bCs/>
        </w:rPr>
        <w:t>contributions</w:t>
      </w:r>
      <w:r w:rsidRPr="00FD6C3B">
        <w:rPr>
          <w:b/>
          <w:bCs/>
        </w:rPr>
        <w:t xml:space="preserve"> attendu</w:t>
      </w:r>
      <w:r w:rsidR="008F3A1C">
        <w:rPr>
          <w:b/>
          <w:bCs/>
        </w:rPr>
        <w:t>e</w:t>
      </w:r>
      <w:r w:rsidRPr="00FD6C3B">
        <w:rPr>
          <w:b/>
          <w:bCs/>
        </w:rPr>
        <w:t>s</w:t>
      </w:r>
    </w:p>
    <w:p w14:paraId="53F6F910" w14:textId="3A2B82A2" w:rsidR="00B72B95" w:rsidRPr="00FD6C3B" w:rsidRDefault="00FD6C3B" w:rsidP="00FD6C3B">
      <w:pPr>
        <w:jc w:val="both"/>
      </w:pPr>
      <w:r w:rsidRPr="00FD6C3B">
        <w:t>Le Prix de la médiation scientifique</w:t>
      </w:r>
      <w:r w:rsidR="006F7605">
        <w:t xml:space="preserve"> et culturelle</w:t>
      </w:r>
      <w:r w:rsidRPr="00FD6C3B">
        <w:t xml:space="preserve"> récompense des </w:t>
      </w:r>
      <w:r w:rsidR="008F3A1C">
        <w:t>contributions</w:t>
      </w:r>
      <w:r w:rsidRPr="00FD6C3B">
        <w:t xml:space="preserve"> ou projets visant à rendre compréhensibles et accessibles des connaissances scientifiques</w:t>
      </w:r>
      <w:r w:rsidR="00B72B95">
        <w:t xml:space="preserve"> dans les disciplines telles que : </w:t>
      </w:r>
      <w:r w:rsidR="00B72B95" w:rsidRPr="00B72B95">
        <w:t>histoire, sociologie, sciences politiques, gestion du patrimoine, économie de la culture, économie de la santé, santé</w:t>
      </w:r>
      <w:r w:rsidR="00AF4A2D">
        <w:t>,</w:t>
      </w:r>
      <w:r w:rsidR="00B72B95" w:rsidRPr="00B72B95">
        <w:t xml:space="preserve"> médecine… (liste non exhaustive ni limitative).</w:t>
      </w:r>
    </w:p>
    <w:p w14:paraId="7DA5C7F6" w14:textId="18BC4BF6" w:rsidR="00FD6C3B" w:rsidRPr="00FD6C3B" w:rsidRDefault="00FD6C3B" w:rsidP="00FD6C3B">
      <w:pPr>
        <w:jc w:val="both"/>
      </w:pPr>
      <w:r w:rsidRPr="00FD6C3B">
        <w:t xml:space="preserve">Les </w:t>
      </w:r>
      <w:r w:rsidR="008F3A1C">
        <w:t>contributions</w:t>
      </w:r>
      <w:r w:rsidRPr="00FD6C3B">
        <w:t xml:space="preserve"> attendu</w:t>
      </w:r>
      <w:r w:rsidR="008F3A1C">
        <w:t>e</w:t>
      </w:r>
      <w:r w:rsidRPr="00FD6C3B">
        <w:t>s peuvent inclure</w:t>
      </w:r>
      <w:r w:rsidR="008F3A1C">
        <w:t xml:space="preserve"> à titre indicatif</w:t>
      </w:r>
      <w:r w:rsidRPr="00FD6C3B">
        <w:t xml:space="preserve"> les formats suivants</w:t>
      </w:r>
      <w:r w:rsidR="008F3A1C">
        <w:t xml:space="preserve"> </w:t>
      </w:r>
      <w:r w:rsidRPr="00FD6C3B">
        <w:t>:</w:t>
      </w:r>
    </w:p>
    <w:p w14:paraId="5BF53575" w14:textId="77777777" w:rsidR="00FD6C3B" w:rsidRPr="00FD6C3B" w:rsidRDefault="00FD6C3B" w:rsidP="00FD6C3B">
      <w:pPr>
        <w:numPr>
          <w:ilvl w:val="0"/>
          <w:numId w:val="28"/>
        </w:numPr>
        <w:jc w:val="both"/>
      </w:pPr>
      <w:r w:rsidRPr="00FD6C3B">
        <w:t>Expositions interactives ou numériques.</w:t>
      </w:r>
    </w:p>
    <w:p w14:paraId="6910A48A" w14:textId="77777777" w:rsidR="00FD6C3B" w:rsidRPr="00FD6C3B" w:rsidRDefault="00FD6C3B" w:rsidP="00FD6C3B">
      <w:pPr>
        <w:numPr>
          <w:ilvl w:val="0"/>
          <w:numId w:val="28"/>
        </w:numPr>
        <w:jc w:val="both"/>
      </w:pPr>
      <w:r w:rsidRPr="00FD6C3B">
        <w:t>Podcasts éducatifs.</w:t>
      </w:r>
    </w:p>
    <w:p w14:paraId="3E853692" w14:textId="77777777" w:rsidR="00FD6C3B" w:rsidRPr="00FD6C3B" w:rsidRDefault="00FD6C3B" w:rsidP="00FD6C3B">
      <w:pPr>
        <w:numPr>
          <w:ilvl w:val="0"/>
          <w:numId w:val="28"/>
        </w:numPr>
        <w:jc w:val="both"/>
      </w:pPr>
      <w:r w:rsidRPr="00FD6C3B">
        <w:t>Applications mobiles ou plateformes éducatives.</w:t>
      </w:r>
    </w:p>
    <w:p w14:paraId="178B6339" w14:textId="77777777" w:rsidR="00FD6C3B" w:rsidRPr="00FD6C3B" w:rsidRDefault="00FD6C3B" w:rsidP="00FD6C3B">
      <w:pPr>
        <w:numPr>
          <w:ilvl w:val="0"/>
          <w:numId w:val="28"/>
        </w:numPr>
        <w:jc w:val="both"/>
      </w:pPr>
      <w:r w:rsidRPr="00FD6C3B">
        <w:t>Vidéos pédagogiques ou documentaires à destination d’un public non spécialiste.</w:t>
      </w:r>
    </w:p>
    <w:p w14:paraId="596A2F90" w14:textId="77777777" w:rsidR="00FD6C3B" w:rsidRPr="00FD6C3B" w:rsidRDefault="00FD6C3B" w:rsidP="00FD6C3B">
      <w:pPr>
        <w:jc w:val="both"/>
      </w:pPr>
      <w:r w:rsidRPr="00FD6C3B">
        <w:t>Les publications purement académiques ne sont pas éligibles. L’accent est mis sur l’originalité, la pertinence et l’impact du projet sur un public diversifié.</w:t>
      </w:r>
    </w:p>
    <w:p w14:paraId="0F55D122" w14:textId="77777777" w:rsidR="00FD6C3B" w:rsidRDefault="00FD6C3B" w:rsidP="00FD6C3B">
      <w:pPr>
        <w:jc w:val="both"/>
      </w:pPr>
    </w:p>
    <w:p w14:paraId="3DEBFBFA" w14:textId="4FF89AC1" w:rsidR="00FD6C3B" w:rsidRPr="00FD6C3B" w:rsidRDefault="00FD6C3B" w:rsidP="00FD6C3B">
      <w:pPr>
        <w:jc w:val="both"/>
        <w:rPr>
          <w:b/>
          <w:bCs/>
        </w:rPr>
      </w:pPr>
      <w:r w:rsidRPr="00FD6C3B">
        <w:rPr>
          <w:b/>
          <w:bCs/>
        </w:rPr>
        <w:t>Article 2 – Description du prix</w:t>
      </w:r>
    </w:p>
    <w:p w14:paraId="212E7E50" w14:textId="77777777" w:rsidR="00FD6C3B" w:rsidRPr="00FD6C3B" w:rsidRDefault="00FD6C3B" w:rsidP="00FD6C3B">
      <w:pPr>
        <w:jc w:val="both"/>
      </w:pPr>
      <w:r w:rsidRPr="00FD6C3B">
        <w:t>Le prix bénéficie d’une dotation totale de 3 000 €, répartie comme suit :</w:t>
      </w:r>
    </w:p>
    <w:p w14:paraId="0FB08A66" w14:textId="77777777" w:rsidR="00FD6C3B" w:rsidRPr="00FD6C3B" w:rsidRDefault="00FD6C3B" w:rsidP="00FD6C3B">
      <w:pPr>
        <w:numPr>
          <w:ilvl w:val="0"/>
          <w:numId w:val="29"/>
        </w:numPr>
        <w:jc w:val="both"/>
      </w:pPr>
      <w:r w:rsidRPr="00FD6C3B">
        <w:t>2 000 € pour le lauréat principal, en reconnaissance de l’excellence de son projet.</w:t>
      </w:r>
    </w:p>
    <w:p w14:paraId="02BA1B8A" w14:textId="77777777" w:rsidR="00FD6C3B" w:rsidRPr="00FD6C3B" w:rsidRDefault="00FD6C3B" w:rsidP="00FD6C3B">
      <w:pPr>
        <w:numPr>
          <w:ilvl w:val="0"/>
          <w:numId w:val="29"/>
        </w:numPr>
        <w:jc w:val="both"/>
      </w:pPr>
      <w:r w:rsidRPr="00FD6C3B">
        <w:t>1 000 € pour un accessit ou prix spécial du jury, destiné à récompenser un projet méritant ou particulièrement original.</w:t>
      </w:r>
    </w:p>
    <w:p w14:paraId="38BF1E40" w14:textId="77777777" w:rsidR="00FD6C3B" w:rsidRPr="00FD6C3B" w:rsidRDefault="00FD6C3B" w:rsidP="00FD6C3B">
      <w:pPr>
        <w:jc w:val="both"/>
      </w:pPr>
      <w:r w:rsidRPr="00FD6C3B">
        <w:lastRenderedPageBreak/>
        <w:t>Cette dotation est attribuée en une seule fois et doit être utilisée dans le cadre du développement ou de la promotion des projets récompensés. En cas d’absence de candidatures conformes ou satisfaisantes, le jury peut décider de ne pas attribuer tout ou partie des prix.</w:t>
      </w:r>
    </w:p>
    <w:p w14:paraId="04DE428A" w14:textId="77777777" w:rsidR="00FD6C3B" w:rsidRPr="00FD6C3B" w:rsidRDefault="00FD6C3B" w:rsidP="00FD6C3B">
      <w:pPr>
        <w:jc w:val="both"/>
      </w:pPr>
    </w:p>
    <w:p w14:paraId="51D5A326" w14:textId="77777777" w:rsidR="00FD6C3B" w:rsidRPr="00FD6C3B" w:rsidRDefault="00FD6C3B" w:rsidP="00FD6C3B">
      <w:pPr>
        <w:jc w:val="both"/>
        <w:rPr>
          <w:b/>
          <w:bCs/>
        </w:rPr>
      </w:pPr>
      <w:r w:rsidRPr="00FD6C3B">
        <w:rPr>
          <w:b/>
          <w:bCs/>
        </w:rPr>
        <w:t>Article 3 – Calendrier du prix</w:t>
      </w:r>
    </w:p>
    <w:p w14:paraId="0BE0C545" w14:textId="77777777" w:rsidR="00FD6C3B" w:rsidRPr="00FD6C3B" w:rsidRDefault="00FD6C3B" w:rsidP="00FD6C3B">
      <w:pPr>
        <w:jc w:val="both"/>
      </w:pPr>
      <w:r w:rsidRPr="00FD6C3B">
        <w:t>Le calendrier prévu pour l’édition actuelle est le suivant :</w:t>
      </w:r>
    </w:p>
    <w:p w14:paraId="48FCA116" w14:textId="4C18E10A" w:rsidR="00FD6C3B" w:rsidRPr="00FD6C3B" w:rsidRDefault="00FD6C3B" w:rsidP="00FD6C3B">
      <w:pPr>
        <w:numPr>
          <w:ilvl w:val="0"/>
          <w:numId w:val="30"/>
        </w:numPr>
        <w:jc w:val="both"/>
      </w:pPr>
      <w:r w:rsidRPr="00FD6C3B">
        <w:rPr>
          <w:b/>
          <w:bCs/>
        </w:rPr>
        <w:t>Février 2025</w:t>
      </w:r>
      <w:r w:rsidRPr="00FD6C3B">
        <w:t xml:space="preserve"> : </w:t>
      </w:r>
      <w:r w:rsidR="00AF4A2D">
        <w:t>l</w:t>
      </w:r>
      <w:r w:rsidRPr="00FD6C3B">
        <w:t>ancement de l’appel à candidatures</w:t>
      </w:r>
      <w:r w:rsidR="008F3A1C">
        <w:t>.</w:t>
      </w:r>
    </w:p>
    <w:p w14:paraId="1EBCAB9A" w14:textId="717E1665" w:rsidR="00FD6C3B" w:rsidRPr="00FD6C3B" w:rsidRDefault="008F3A1C" w:rsidP="00FD6C3B">
      <w:pPr>
        <w:numPr>
          <w:ilvl w:val="0"/>
          <w:numId w:val="30"/>
        </w:numPr>
        <w:jc w:val="both"/>
      </w:pPr>
      <w:r>
        <w:rPr>
          <w:b/>
          <w:bCs/>
        </w:rPr>
        <w:t>1</w:t>
      </w:r>
      <w:r w:rsidR="00956719">
        <w:rPr>
          <w:b/>
          <w:bCs/>
        </w:rPr>
        <w:t>4</w:t>
      </w:r>
      <w:r>
        <w:rPr>
          <w:b/>
          <w:bCs/>
        </w:rPr>
        <w:t xml:space="preserve"> novembre</w:t>
      </w:r>
      <w:r w:rsidR="00FD6C3B" w:rsidRPr="00FD6C3B">
        <w:rPr>
          <w:b/>
          <w:bCs/>
        </w:rPr>
        <w:t xml:space="preserve"> 2025</w:t>
      </w:r>
      <w:r w:rsidR="00FD6C3B" w:rsidRPr="00FD6C3B">
        <w:t xml:space="preserve"> : </w:t>
      </w:r>
      <w:r w:rsidR="00AF4A2D">
        <w:t>c</w:t>
      </w:r>
      <w:r w:rsidR="00FD6C3B" w:rsidRPr="00FD6C3B">
        <w:t>lôture des candidatures.</w:t>
      </w:r>
    </w:p>
    <w:p w14:paraId="470FE7EB" w14:textId="0D2E11C3" w:rsidR="00FD6C3B" w:rsidRPr="00FD6C3B" w:rsidRDefault="008F3A1C" w:rsidP="00FD6C3B">
      <w:pPr>
        <w:numPr>
          <w:ilvl w:val="0"/>
          <w:numId w:val="30"/>
        </w:numPr>
        <w:jc w:val="both"/>
      </w:pPr>
      <w:r>
        <w:rPr>
          <w:b/>
          <w:bCs/>
        </w:rPr>
        <w:t>Fin n</w:t>
      </w:r>
      <w:r w:rsidR="00FD6C3B" w:rsidRPr="00FD6C3B">
        <w:rPr>
          <w:b/>
          <w:bCs/>
        </w:rPr>
        <w:t>ovembre 2025</w:t>
      </w:r>
      <w:r w:rsidR="00FD6C3B" w:rsidRPr="00FD6C3B">
        <w:t xml:space="preserve"> : </w:t>
      </w:r>
      <w:r w:rsidR="00AF4A2D">
        <w:t>s</w:t>
      </w:r>
      <w:r w:rsidR="00FD6C3B" w:rsidRPr="00FD6C3B">
        <w:t>élection de conformité des dossiers reçus.</w:t>
      </w:r>
    </w:p>
    <w:p w14:paraId="48410C52" w14:textId="3B6C1D10" w:rsidR="00FD6C3B" w:rsidRPr="00FD6C3B" w:rsidRDefault="00FD6C3B" w:rsidP="00FD6C3B">
      <w:pPr>
        <w:numPr>
          <w:ilvl w:val="0"/>
          <w:numId w:val="30"/>
        </w:numPr>
        <w:jc w:val="both"/>
      </w:pPr>
      <w:r w:rsidRPr="00FD6C3B">
        <w:rPr>
          <w:b/>
          <w:bCs/>
        </w:rPr>
        <w:t>Décembre 2025 à janvier 2026</w:t>
      </w:r>
      <w:r w:rsidRPr="00FD6C3B">
        <w:t xml:space="preserve"> : </w:t>
      </w:r>
      <w:r w:rsidR="00AF4A2D">
        <w:t>e</w:t>
      </w:r>
      <w:r w:rsidRPr="00FD6C3B">
        <w:t>xamen des candidatures pré-sélectionnées par les membres du jury.</w:t>
      </w:r>
    </w:p>
    <w:p w14:paraId="0282797D" w14:textId="3DA3C3A2" w:rsidR="00FD6C3B" w:rsidRPr="00FD6C3B" w:rsidRDefault="00FD6C3B" w:rsidP="00FD6C3B">
      <w:pPr>
        <w:numPr>
          <w:ilvl w:val="0"/>
          <w:numId w:val="30"/>
        </w:numPr>
        <w:jc w:val="both"/>
      </w:pPr>
      <w:r w:rsidRPr="00FD6C3B">
        <w:rPr>
          <w:b/>
          <w:bCs/>
        </w:rPr>
        <w:t>Février 2026</w:t>
      </w:r>
      <w:r w:rsidRPr="00FD6C3B">
        <w:t xml:space="preserve"> : </w:t>
      </w:r>
      <w:r w:rsidR="00AF4A2D">
        <w:t>r</w:t>
      </w:r>
      <w:r w:rsidRPr="00FD6C3B">
        <w:t>éunion plénière du jury pour délibérations et désignation des lauréats.</w:t>
      </w:r>
    </w:p>
    <w:p w14:paraId="627B5FC3" w14:textId="4E94E901" w:rsidR="00FD6C3B" w:rsidRPr="00FD6C3B" w:rsidRDefault="00FD6C3B" w:rsidP="00FD6C3B">
      <w:pPr>
        <w:numPr>
          <w:ilvl w:val="0"/>
          <w:numId w:val="30"/>
        </w:numPr>
        <w:jc w:val="both"/>
      </w:pPr>
      <w:r w:rsidRPr="00FD6C3B">
        <w:rPr>
          <w:b/>
          <w:bCs/>
        </w:rPr>
        <w:t>Mars 2026 (provisoire)</w:t>
      </w:r>
      <w:r w:rsidRPr="00FD6C3B">
        <w:t xml:space="preserve"> : </w:t>
      </w:r>
      <w:r w:rsidR="00AF4A2D">
        <w:t>c</w:t>
      </w:r>
      <w:r w:rsidRPr="00FD6C3B">
        <w:t>érémonie officielle de remise des prix, organisée par le CHAS.</w:t>
      </w:r>
    </w:p>
    <w:p w14:paraId="3215B441" w14:textId="77777777" w:rsidR="00FD6C3B" w:rsidRPr="00FD6C3B" w:rsidRDefault="00FD6C3B" w:rsidP="00FD6C3B">
      <w:pPr>
        <w:jc w:val="both"/>
      </w:pPr>
      <w:r w:rsidRPr="00FD6C3B">
        <w:t>Les dates peuvent être ajustées en cas de besoin, avec une communication préalable auprès des candidats.</w:t>
      </w:r>
    </w:p>
    <w:p w14:paraId="05B0E820" w14:textId="663A2D26" w:rsidR="00FD6C3B" w:rsidRPr="00FD6C3B" w:rsidRDefault="00FD6C3B" w:rsidP="00FD6C3B">
      <w:pPr>
        <w:jc w:val="both"/>
      </w:pPr>
    </w:p>
    <w:p w14:paraId="6EC5C42D" w14:textId="269200F8" w:rsidR="00FD6C3B" w:rsidRPr="00FD6C3B" w:rsidRDefault="00FD6C3B" w:rsidP="00FD6C3B">
      <w:pPr>
        <w:jc w:val="both"/>
        <w:rPr>
          <w:b/>
          <w:bCs/>
        </w:rPr>
      </w:pPr>
      <w:r w:rsidRPr="00FD6C3B">
        <w:rPr>
          <w:b/>
          <w:bCs/>
        </w:rPr>
        <w:t>Article 4 – Conditions de candidature</w:t>
      </w:r>
      <w:r>
        <w:rPr>
          <w:b/>
          <w:bCs/>
        </w:rPr>
        <w:t xml:space="preserve"> et composition du dossier</w:t>
      </w:r>
    </w:p>
    <w:p w14:paraId="3403E729" w14:textId="57CEA146" w:rsidR="00FD6C3B" w:rsidRPr="00FD6C3B" w:rsidRDefault="00FD6C3B" w:rsidP="00FD6C3B">
      <w:pPr>
        <w:jc w:val="both"/>
      </w:pPr>
      <w:r w:rsidRPr="00FD6C3B">
        <w:t xml:space="preserve">Le prix est ouvert </w:t>
      </w:r>
      <w:r w:rsidR="00AF4A2D">
        <w:t>aux</w:t>
      </w:r>
      <w:r w:rsidR="00AF4A2D" w:rsidRPr="00FD6C3B">
        <w:t xml:space="preserve"> </w:t>
      </w:r>
      <w:r w:rsidRPr="00FD6C3B">
        <w:t>:</w:t>
      </w:r>
    </w:p>
    <w:p w14:paraId="14C7F0A1" w14:textId="76408C2E" w:rsidR="00FD6C3B" w:rsidRPr="00FD6C3B" w:rsidRDefault="00FD6C3B" w:rsidP="00FD6C3B">
      <w:pPr>
        <w:numPr>
          <w:ilvl w:val="0"/>
          <w:numId w:val="31"/>
        </w:numPr>
        <w:jc w:val="both"/>
      </w:pPr>
      <w:r w:rsidRPr="00FD6C3B">
        <w:rPr>
          <w:b/>
          <w:bCs/>
        </w:rPr>
        <w:t>Jeunes chercheurs</w:t>
      </w:r>
      <w:r w:rsidRPr="00FD6C3B">
        <w:t xml:space="preserve"> : étudiants en master, doctorants ou diplômés de </w:t>
      </w:r>
      <w:r w:rsidR="00F94EB9">
        <w:t xml:space="preserve">master ou </w:t>
      </w:r>
      <w:r w:rsidRPr="00FD6C3B">
        <w:t>doctorat depuis moins de cinq ans.</w:t>
      </w:r>
    </w:p>
    <w:p w14:paraId="55671712" w14:textId="0BBC47EC" w:rsidR="00FD6C3B" w:rsidRPr="00FD6C3B" w:rsidRDefault="008F3A1C" w:rsidP="00FD6C3B">
      <w:pPr>
        <w:numPr>
          <w:ilvl w:val="0"/>
          <w:numId w:val="31"/>
        </w:numPr>
        <w:jc w:val="both"/>
      </w:pPr>
      <w:r>
        <w:rPr>
          <w:b/>
          <w:bCs/>
        </w:rPr>
        <w:t>C</w:t>
      </w:r>
      <w:r w:rsidR="00FD6C3B" w:rsidRPr="00FD6C3B">
        <w:rPr>
          <w:b/>
          <w:bCs/>
        </w:rPr>
        <w:t>ollectifs</w:t>
      </w:r>
      <w:r>
        <w:rPr>
          <w:b/>
          <w:bCs/>
        </w:rPr>
        <w:t xml:space="preserve"> de chercheurs</w:t>
      </w:r>
      <w:r w:rsidR="00FD6C3B" w:rsidRPr="00FD6C3B">
        <w:t xml:space="preserve"> </w:t>
      </w:r>
      <w:r w:rsidR="00532E74">
        <w:t>dont</w:t>
      </w:r>
      <w:r w:rsidR="00FD6C3B" w:rsidRPr="00FD6C3B">
        <w:t xml:space="preserve"> le porteur principal doit remplir les critères énoncés ci-dessus.</w:t>
      </w:r>
    </w:p>
    <w:p w14:paraId="6EECEB6C" w14:textId="77777777" w:rsidR="00FD6C3B" w:rsidRPr="00FD6C3B" w:rsidRDefault="00FD6C3B" w:rsidP="00FD6C3B">
      <w:pPr>
        <w:jc w:val="both"/>
      </w:pPr>
      <w:r w:rsidRPr="00FD6C3B">
        <w:t>Les candidatures doivent inclure un dossier électronique composé des éléments suivants :</w:t>
      </w:r>
    </w:p>
    <w:p w14:paraId="12107EEE" w14:textId="7869E6DA" w:rsidR="00FD6C3B" w:rsidRDefault="00FD6C3B" w:rsidP="00FD6C3B">
      <w:pPr>
        <w:numPr>
          <w:ilvl w:val="0"/>
          <w:numId w:val="32"/>
        </w:numPr>
        <w:jc w:val="both"/>
      </w:pPr>
      <w:r w:rsidRPr="00FD6C3B">
        <w:t xml:space="preserve">Une note </w:t>
      </w:r>
      <w:r w:rsidR="000C558F">
        <w:t>de présentation</w:t>
      </w:r>
      <w:r w:rsidRPr="00FD6C3B">
        <w:t xml:space="preserve"> (2 pages) décrivant le contexte, les objectifs, le public cible et les principaux aspects du projet.</w:t>
      </w:r>
    </w:p>
    <w:p w14:paraId="210F202D" w14:textId="0B7800E6" w:rsidR="000C558F" w:rsidRPr="00FD6C3B" w:rsidRDefault="000C558F" w:rsidP="000C558F">
      <w:pPr>
        <w:pStyle w:val="Paragraphedeliste"/>
        <w:numPr>
          <w:ilvl w:val="0"/>
          <w:numId w:val="32"/>
        </w:numPr>
        <w:jc w:val="both"/>
      </w:pPr>
      <w:r w:rsidRPr="000C558F">
        <w:t>La ou les pièces produites dans le cadre du projet (panneaux, podcast…) : visuels, lien d’accès…</w:t>
      </w:r>
    </w:p>
    <w:p w14:paraId="562CAC1E" w14:textId="47EB813C" w:rsidR="000C558F" w:rsidRDefault="00FD6C3B" w:rsidP="000C558F">
      <w:pPr>
        <w:numPr>
          <w:ilvl w:val="0"/>
          <w:numId w:val="32"/>
        </w:numPr>
        <w:jc w:val="both"/>
      </w:pPr>
      <w:r w:rsidRPr="00FD6C3B">
        <w:t>Un curriculum vitae détaillant</w:t>
      </w:r>
      <w:r w:rsidR="000C558F">
        <w:t> </w:t>
      </w:r>
      <w:r w:rsidRPr="00FD6C3B">
        <w:t>les qualifications du candidat ou du porteur principa</w:t>
      </w:r>
      <w:r w:rsidR="000C558F">
        <w:t>l</w:t>
      </w:r>
      <w:r w:rsidR="00AF4A2D">
        <w:t>.</w:t>
      </w:r>
    </w:p>
    <w:p w14:paraId="1DE22B22" w14:textId="2638628C" w:rsidR="00FD6C3B" w:rsidRPr="00FD6C3B" w:rsidRDefault="000C558F" w:rsidP="000C558F">
      <w:pPr>
        <w:numPr>
          <w:ilvl w:val="0"/>
          <w:numId w:val="32"/>
        </w:numPr>
        <w:jc w:val="both"/>
      </w:pPr>
      <w:r>
        <w:t xml:space="preserve">En cas de projet collectif, la répartition des </w:t>
      </w:r>
      <w:r w:rsidR="00AF4A2D">
        <w:t xml:space="preserve">rôles et </w:t>
      </w:r>
      <w:r>
        <w:t>contributions de chaque participant</w:t>
      </w:r>
      <w:r w:rsidR="00AF4A2D">
        <w:t xml:space="preserve"> au sein du projet.</w:t>
      </w:r>
    </w:p>
    <w:p w14:paraId="089D7373" w14:textId="3CCDE5D9" w:rsidR="00FD6C3B" w:rsidRPr="00FD6C3B" w:rsidRDefault="00FD6C3B" w:rsidP="000C558F">
      <w:pPr>
        <w:numPr>
          <w:ilvl w:val="0"/>
          <w:numId w:val="32"/>
        </w:numPr>
        <w:jc w:val="both"/>
      </w:pPr>
      <w:r w:rsidRPr="00FD6C3B">
        <w:t>Un bilan qualitatif et quantitatif du projet, si celui-ci est achevé.</w:t>
      </w:r>
      <w:r w:rsidR="000C558F">
        <w:t xml:space="preserve"> Et s</w:t>
      </w:r>
      <w:r w:rsidR="004D60AE">
        <w:t>’</w:t>
      </w:r>
      <w:r w:rsidR="000C558F">
        <w:t>il est en cours, le point d’avancement du projet et la date prévu</w:t>
      </w:r>
      <w:r w:rsidR="00B72B95">
        <w:t>e</w:t>
      </w:r>
      <w:r w:rsidR="000C558F">
        <w:t xml:space="preserve"> pour son achèvement.</w:t>
      </w:r>
    </w:p>
    <w:p w14:paraId="331982C1" w14:textId="77777777" w:rsidR="00FD6C3B" w:rsidRPr="00FD6C3B" w:rsidRDefault="00FD6C3B" w:rsidP="000C558F">
      <w:pPr>
        <w:jc w:val="both"/>
      </w:pPr>
      <w:r w:rsidRPr="00FD6C3B">
        <w:t>Les candidatures incomplètes ou ne respectant pas les critères seront écartées.</w:t>
      </w:r>
    </w:p>
    <w:p w14:paraId="74B9F90E" w14:textId="2BDDE951" w:rsidR="00FD6C3B" w:rsidRPr="00FD6C3B" w:rsidRDefault="00FD6C3B" w:rsidP="00FD6C3B">
      <w:pPr>
        <w:jc w:val="both"/>
      </w:pPr>
    </w:p>
    <w:p w14:paraId="1D949136" w14:textId="77777777" w:rsidR="00FD6C3B" w:rsidRPr="00FD6C3B" w:rsidRDefault="00FD6C3B" w:rsidP="00FD6C3B">
      <w:pPr>
        <w:jc w:val="both"/>
        <w:rPr>
          <w:b/>
          <w:bCs/>
        </w:rPr>
      </w:pPr>
      <w:r w:rsidRPr="00FD6C3B">
        <w:rPr>
          <w:b/>
          <w:bCs/>
        </w:rPr>
        <w:t>Article 5 – Composition du jury</w:t>
      </w:r>
    </w:p>
    <w:p w14:paraId="679399A9" w14:textId="77777777" w:rsidR="00FD6C3B" w:rsidRPr="00FD6C3B" w:rsidRDefault="00FD6C3B" w:rsidP="00FD6C3B">
      <w:pPr>
        <w:jc w:val="both"/>
      </w:pPr>
      <w:r w:rsidRPr="00FD6C3B">
        <w:t>Le jury est composé de :</w:t>
      </w:r>
    </w:p>
    <w:p w14:paraId="247AC874" w14:textId="5C2968C7" w:rsidR="00FD6C3B" w:rsidRPr="00FD6C3B" w:rsidRDefault="000C558F" w:rsidP="00FD6C3B">
      <w:pPr>
        <w:numPr>
          <w:ilvl w:val="0"/>
          <w:numId w:val="33"/>
        </w:numPr>
        <w:jc w:val="both"/>
      </w:pPr>
      <w:r>
        <w:lastRenderedPageBreak/>
        <w:t>Chercheurs</w:t>
      </w:r>
      <w:r w:rsidR="00FD6C3B" w:rsidRPr="00FD6C3B">
        <w:t xml:space="preserve"> spécialisés dans les politiques et administrations de la san</w:t>
      </w:r>
      <w:r>
        <w:t>té</w:t>
      </w:r>
      <w:r w:rsidR="00AF4A2D">
        <w:t>.</w:t>
      </w:r>
    </w:p>
    <w:p w14:paraId="54E6A723" w14:textId="3BA584EB" w:rsidR="004D60AE" w:rsidRDefault="00FD6C3B" w:rsidP="00FD6C3B">
      <w:pPr>
        <w:numPr>
          <w:ilvl w:val="0"/>
          <w:numId w:val="33"/>
        </w:numPr>
        <w:jc w:val="both"/>
      </w:pPr>
      <w:r w:rsidRPr="00FD6C3B">
        <w:t>Responsables du patrimoine et représentants d’institutions culturelles</w:t>
      </w:r>
      <w:r w:rsidR="000C558F">
        <w:t>, m</w:t>
      </w:r>
      <w:r w:rsidRPr="00FD6C3B">
        <w:t>édiateurs scientifique</w:t>
      </w:r>
      <w:r w:rsidR="004D60AE">
        <w:t>s</w:t>
      </w:r>
      <w:r w:rsidR="00AF4A2D">
        <w:t>.</w:t>
      </w:r>
    </w:p>
    <w:p w14:paraId="0E77A497" w14:textId="57E8F10E" w:rsidR="004D60AE" w:rsidRDefault="004D60AE" w:rsidP="004D60AE">
      <w:pPr>
        <w:numPr>
          <w:ilvl w:val="0"/>
          <w:numId w:val="33"/>
        </w:numPr>
        <w:jc w:val="both"/>
      </w:pPr>
      <w:r>
        <w:t>Membres du CHAS</w:t>
      </w:r>
      <w:r w:rsidR="00AF4A2D">
        <w:t>.</w:t>
      </w:r>
    </w:p>
    <w:p w14:paraId="7858D961" w14:textId="41F78F26" w:rsidR="00FD6C3B" w:rsidRPr="00FD6C3B" w:rsidRDefault="00FD6C3B" w:rsidP="00FD6C3B">
      <w:pPr>
        <w:jc w:val="both"/>
      </w:pPr>
      <w:r w:rsidRPr="00FD6C3B">
        <w:t xml:space="preserve">Le président du jury, désigné par </w:t>
      </w:r>
      <w:r w:rsidR="004D60AE">
        <w:t>la Présidente du CHAS,</w:t>
      </w:r>
      <w:r w:rsidRPr="00FD6C3B">
        <w:t xml:space="preserve"> veille à la bonne conduite des délibérations. </w:t>
      </w:r>
    </w:p>
    <w:p w14:paraId="4F4A03C2" w14:textId="77777777" w:rsidR="002D2312" w:rsidRDefault="002D2312" w:rsidP="00FD6C3B">
      <w:pPr>
        <w:jc w:val="both"/>
      </w:pPr>
    </w:p>
    <w:p w14:paraId="08D056C4" w14:textId="7FA74689" w:rsidR="00FD6C3B" w:rsidRPr="00FD6C3B" w:rsidRDefault="00FD6C3B" w:rsidP="00FD6C3B">
      <w:pPr>
        <w:jc w:val="both"/>
      </w:pPr>
      <w:r w:rsidRPr="00FD6C3B">
        <w:rPr>
          <w:b/>
          <w:bCs/>
        </w:rPr>
        <w:t>Article 6 – Procédure de sélection</w:t>
      </w:r>
    </w:p>
    <w:p w14:paraId="3B9D4AE9" w14:textId="77777777" w:rsidR="00FD6C3B" w:rsidRPr="00FD6C3B" w:rsidRDefault="00FD6C3B" w:rsidP="00FD6C3B">
      <w:pPr>
        <w:jc w:val="both"/>
      </w:pPr>
      <w:r w:rsidRPr="00FD6C3B">
        <w:t>Les étapes de sélection sont :</w:t>
      </w:r>
    </w:p>
    <w:p w14:paraId="1C4F9ED8" w14:textId="77777777" w:rsidR="00FD6C3B" w:rsidRPr="00FD6C3B" w:rsidRDefault="00FD6C3B" w:rsidP="00FD6C3B">
      <w:pPr>
        <w:numPr>
          <w:ilvl w:val="0"/>
          <w:numId w:val="34"/>
        </w:numPr>
        <w:jc w:val="both"/>
      </w:pPr>
      <w:r w:rsidRPr="00FD6C3B">
        <w:rPr>
          <w:b/>
          <w:bCs/>
        </w:rPr>
        <w:t>Sélection de conformité</w:t>
      </w:r>
      <w:r w:rsidRPr="00FD6C3B">
        <w:t xml:space="preserve"> : vérification des candidatures pour s’assurer qu’elles respectent les critères du règlement.</w:t>
      </w:r>
    </w:p>
    <w:p w14:paraId="10BD9F64" w14:textId="58993AA5" w:rsidR="00FD6C3B" w:rsidRPr="00FD6C3B" w:rsidRDefault="00FD6C3B" w:rsidP="00FD6C3B">
      <w:pPr>
        <w:numPr>
          <w:ilvl w:val="0"/>
          <w:numId w:val="34"/>
        </w:numPr>
        <w:jc w:val="both"/>
      </w:pPr>
      <w:r w:rsidRPr="00FD6C3B">
        <w:rPr>
          <w:b/>
          <w:bCs/>
        </w:rPr>
        <w:t>Examen approfondi</w:t>
      </w:r>
      <w:r w:rsidRPr="00FD6C3B">
        <w:t xml:space="preserve"> : évaluation par les membres du jury</w:t>
      </w:r>
      <w:r w:rsidR="004D60AE">
        <w:t xml:space="preserve"> </w:t>
      </w:r>
      <w:r w:rsidR="004D60AE" w:rsidRPr="004D60AE">
        <w:t>des</w:t>
      </w:r>
      <w:r w:rsidR="004D60AE">
        <w:t xml:space="preserve"> contributions</w:t>
      </w:r>
      <w:r w:rsidR="004D60AE" w:rsidRPr="004D60AE">
        <w:t xml:space="preserve"> conformes</w:t>
      </w:r>
      <w:r w:rsidR="004D60AE">
        <w:t>.</w:t>
      </w:r>
    </w:p>
    <w:p w14:paraId="55986757" w14:textId="2D0DF251" w:rsidR="00FD6C3B" w:rsidRDefault="00AF4A2D" w:rsidP="00FD6C3B">
      <w:pPr>
        <w:numPr>
          <w:ilvl w:val="0"/>
          <w:numId w:val="34"/>
        </w:numPr>
        <w:jc w:val="both"/>
      </w:pPr>
      <w:r>
        <w:rPr>
          <w:b/>
          <w:bCs/>
        </w:rPr>
        <w:t>É</w:t>
      </w:r>
      <w:r w:rsidR="004D60AE">
        <w:rPr>
          <w:b/>
          <w:bCs/>
        </w:rPr>
        <w:t>tablissement du palmarès</w:t>
      </w:r>
      <w:r w:rsidR="00FD6C3B" w:rsidRPr="00FD6C3B">
        <w:t xml:space="preserve"> : d</w:t>
      </w:r>
      <w:r w:rsidR="004D60AE">
        <w:t>élibération</w:t>
      </w:r>
      <w:r w:rsidR="00FD6C3B" w:rsidRPr="00FD6C3B">
        <w:t xml:space="preserve"> en séance plénière </w:t>
      </w:r>
      <w:r w:rsidR="004D60AE">
        <w:t xml:space="preserve">du jury du prix </w:t>
      </w:r>
      <w:r w:rsidR="00FD6C3B" w:rsidRPr="00FD6C3B">
        <w:t>pour désigner le(s) lauréat(s). En l’absence de consensus, un vote majoritaire est organisé, avec une voix prépondérante pour le président en cas d’égalité.</w:t>
      </w:r>
    </w:p>
    <w:p w14:paraId="6FB8CE4F" w14:textId="761E3F1C" w:rsidR="009E08F9" w:rsidRPr="00FD6C3B" w:rsidRDefault="009E08F9" w:rsidP="00FD6C3B">
      <w:pPr>
        <w:numPr>
          <w:ilvl w:val="0"/>
          <w:numId w:val="34"/>
        </w:numPr>
        <w:jc w:val="both"/>
      </w:pPr>
      <w:r>
        <w:rPr>
          <w:b/>
          <w:bCs/>
        </w:rPr>
        <w:t>Remise du prix </w:t>
      </w:r>
      <w:r w:rsidRPr="009E08F9">
        <w:t>:</w:t>
      </w:r>
      <w:r>
        <w:t xml:space="preserve"> </w:t>
      </w:r>
      <w:r w:rsidRPr="009E08F9">
        <w:t>en cas de récompense d’un projet collectif</w:t>
      </w:r>
      <w:r w:rsidR="00AF4A2D">
        <w:t>,</w:t>
      </w:r>
      <w:r w:rsidRPr="009E08F9">
        <w:t xml:space="preserve"> le montant du prix est remis au porteur principal</w:t>
      </w:r>
      <w:r>
        <w:t>.</w:t>
      </w:r>
    </w:p>
    <w:p w14:paraId="52C14E4B" w14:textId="77777777" w:rsidR="00FD6C3B" w:rsidRDefault="00FD6C3B" w:rsidP="00FD6C3B">
      <w:pPr>
        <w:jc w:val="both"/>
      </w:pPr>
      <w:r w:rsidRPr="00FD6C3B">
        <w:t>Les décisions du jury sont définitives et ne peuvent faire l’objet d’un recours.</w:t>
      </w:r>
    </w:p>
    <w:p w14:paraId="78346A14" w14:textId="77777777" w:rsidR="002D2312" w:rsidRDefault="002D2312" w:rsidP="00FD6C3B">
      <w:pPr>
        <w:jc w:val="both"/>
      </w:pPr>
    </w:p>
    <w:p w14:paraId="6B067A99" w14:textId="6024A0A9" w:rsidR="00FD6C3B" w:rsidRPr="00FD6C3B" w:rsidRDefault="00FD6C3B" w:rsidP="00FD6C3B">
      <w:pPr>
        <w:jc w:val="both"/>
      </w:pPr>
      <w:r w:rsidRPr="00FD6C3B">
        <w:rPr>
          <w:b/>
          <w:bCs/>
        </w:rPr>
        <w:t>Article 7 – Critères de sélection</w:t>
      </w:r>
    </w:p>
    <w:p w14:paraId="729A336B" w14:textId="563B63E8" w:rsidR="00FD6C3B" w:rsidRPr="00FD6C3B" w:rsidRDefault="00FD6C3B" w:rsidP="00FD6C3B">
      <w:pPr>
        <w:jc w:val="both"/>
      </w:pPr>
      <w:r w:rsidRPr="00FD6C3B">
        <w:t xml:space="preserve">Les </w:t>
      </w:r>
      <w:r w:rsidR="004D60AE">
        <w:t>contributions</w:t>
      </w:r>
      <w:r w:rsidRPr="00FD6C3B">
        <w:t xml:space="preserve"> seront évalué</w:t>
      </w:r>
      <w:r w:rsidR="004D60AE">
        <w:t>e</w:t>
      </w:r>
      <w:r w:rsidRPr="00FD6C3B">
        <w:t>s selon les critères suivants :</w:t>
      </w:r>
    </w:p>
    <w:p w14:paraId="20B3892F" w14:textId="77777777" w:rsidR="00FD6C3B" w:rsidRPr="00FD6C3B" w:rsidRDefault="00FD6C3B" w:rsidP="00FD6C3B">
      <w:pPr>
        <w:numPr>
          <w:ilvl w:val="0"/>
          <w:numId w:val="35"/>
        </w:numPr>
        <w:jc w:val="both"/>
      </w:pPr>
      <w:r w:rsidRPr="00FD6C3B">
        <w:rPr>
          <w:b/>
          <w:bCs/>
        </w:rPr>
        <w:t>Originalité</w:t>
      </w:r>
      <w:r w:rsidRPr="00FD6C3B">
        <w:t xml:space="preserve"> : caractère innovant du projet de médiation.</w:t>
      </w:r>
    </w:p>
    <w:p w14:paraId="22A2868D" w14:textId="77777777" w:rsidR="00FD6C3B" w:rsidRPr="00FD6C3B" w:rsidRDefault="00FD6C3B" w:rsidP="00FD6C3B">
      <w:pPr>
        <w:numPr>
          <w:ilvl w:val="0"/>
          <w:numId w:val="35"/>
        </w:numPr>
        <w:jc w:val="both"/>
      </w:pPr>
      <w:r w:rsidRPr="00FD6C3B">
        <w:rPr>
          <w:b/>
          <w:bCs/>
        </w:rPr>
        <w:t>Qualité scientifique</w:t>
      </w:r>
      <w:r w:rsidRPr="00FD6C3B">
        <w:t xml:space="preserve"> : rigueur et pertinence des données utilisées.</w:t>
      </w:r>
    </w:p>
    <w:p w14:paraId="501084B9" w14:textId="77777777" w:rsidR="00FD6C3B" w:rsidRPr="00FD6C3B" w:rsidRDefault="00FD6C3B" w:rsidP="00FD6C3B">
      <w:pPr>
        <w:numPr>
          <w:ilvl w:val="0"/>
          <w:numId w:val="35"/>
        </w:numPr>
        <w:jc w:val="both"/>
      </w:pPr>
      <w:r w:rsidRPr="00FD6C3B">
        <w:rPr>
          <w:b/>
          <w:bCs/>
        </w:rPr>
        <w:t>Efficacité de la médiation</w:t>
      </w:r>
      <w:r w:rsidRPr="00FD6C3B">
        <w:t xml:space="preserve"> : capacité à atteindre le public cible et à transmettre les messages de manière claire et engageante.</w:t>
      </w:r>
    </w:p>
    <w:p w14:paraId="24C07B36" w14:textId="0B15D8E2" w:rsidR="00FD6C3B" w:rsidRPr="00FD6C3B" w:rsidRDefault="00FD6C3B" w:rsidP="00FD6C3B">
      <w:pPr>
        <w:numPr>
          <w:ilvl w:val="0"/>
          <w:numId w:val="35"/>
        </w:numPr>
        <w:jc w:val="both"/>
      </w:pPr>
      <w:r w:rsidRPr="00FD6C3B">
        <w:rPr>
          <w:b/>
          <w:bCs/>
        </w:rPr>
        <w:t>Utilisation d</w:t>
      </w:r>
      <w:r w:rsidR="004D60AE">
        <w:rPr>
          <w:b/>
          <w:bCs/>
        </w:rPr>
        <w:t xml:space="preserve">e ressources scientifiques </w:t>
      </w:r>
      <w:r w:rsidRPr="00FD6C3B">
        <w:t>: mobilisation d’</w:t>
      </w:r>
      <w:r w:rsidR="00AF4A2D">
        <w:t>œuvres</w:t>
      </w:r>
      <w:r w:rsidRPr="00FD6C3B">
        <w:t xml:space="preserve"> ou de</w:t>
      </w:r>
      <w:r w:rsidR="004D60AE">
        <w:t xml:space="preserve"> documents d’archives</w:t>
      </w:r>
      <w:r w:rsidRPr="00FD6C3B">
        <w:t xml:space="preserve"> issues des institutions culturelles ou patrimoniales</w:t>
      </w:r>
      <w:r w:rsidR="00AF4A2D">
        <w:t>, publiques ou privées</w:t>
      </w:r>
      <w:r w:rsidRPr="00FD6C3B">
        <w:t>.</w:t>
      </w:r>
    </w:p>
    <w:p w14:paraId="07437D78" w14:textId="77777777" w:rsidR="00FD6C3B" w:rsidRPr="00FD6C3B" w:rsidRDefault="00FD6C3B" w:rsidP="00FD6C3B">
      <w:pPr>
        <w:numPr>
          <w:ilvl w:val="0"/>
          <w:numId w:val="35"/>
        </w:numPr>
        <w:jc w:val="both"/>
      </w:pPr>
      <w:r w:rsidRPr="00FD6C3B">
        <w:rPr>
          <w:b/>
          <w:bCs/>
        </w:rPr>
        <w:t>Degré d’achèvement</w:t>
      </w:r>
      <w:r w:rsidRPr="00FD6C3B">
        <w:t xml:space="preserve"> : projets terminés ou en phase avancée de réalisation.</w:t>
      </w:r>
    </w:p>
    <w:p w14:paraId="43311692" w14:textId="77777777" w:rsidR="00FD6C3B" w:rsidRPr="00FD6C3B" w:rsidRDefault="00FD6C3B" w:rsidP="00FD6C3B">
      <w:pPr>
        <w:jc w:val="both"/>
      </w:pPr>
      <w:r w:rsidRPr="00FD6C3B">
        <w:t>Les projets en cours de développement doivent démontrer leur faisabilité à travers des éléments concrets.</w:t>
      </w:r>
    </w:p>
    <w:p w14:paraId="4D3BBECC" w14:textId="0DD676AF" w:rsidR="00FD6C3B" w:rsidRPr="00FD6C3B" w:rsidRDefault="00FD6C3B" w:rsidP="00FD6C3B">
      <w:pPr>
        <w:jc w:val="both"/>
      </w:pPr>
    </w:p>
    <w:p w14:paraId="08137732" w14:textId="77777777" w:rsidR="00FD6C3B" w:rsidRPr="00FD6C3B" w:rsidRDefault="00FD6C3B" w:rsidP="00FD6C3B">
      <w:pPr>
        <w:jc w:val="both"/>
        <w:rPr>
          <w:b/>
          <w:bCs/>
        </w:rPr>
      </w:pPr>
      <w:r w:rsidRPr="00FD6C3B">
        <w:rPr>
          <w:b/>
          <w:bCs/>
        </w:rPr>
        <w:t>Article 8 – Prévention des conflits d’intérêts</w:t>
      </w:r>
    </w:p>
    <w:p w14:paraId="6DD07FE5" w14:textId="5443EC1B" w:rsidR="00FD6C3B" w:rsidRPr="00FD6C3B" w:rsidRDefault="00FD6C3B" w:rsidP="00FD6C3B">
      <w:pPr>
        <w:jc w:val="both"/>
      </w:pPr>
      <w:r w:rsidRPr="00FD6C3B">
        <w:t>Les membres du jury doivent s’abstenir de participer à l’évaluation des</w:t>
      </w:r>
      <w:r w:rsidR="00B72B95">
        <w:t xml:space="preserve"> contributions</w:t>
      </w:r>
      <w:r w:rsidRPr="00FD6C3B">
        <w:t xml:space="preserve"> pour lesquels ils auraient un lien personnel ou professionnel direct avec le candidat ou le projet présenté.</w:t>
      </w:r>
    </w:p>
    <w:p w14:paraId="5540D997" w14:textId="0A21AC8C" w:rsidR="002D2312" w:rsidRDefault="00FD6C3B" w:rsidP="00FD6C3B">
      <w:pPr>
        <w:jc w:val="both"/>
      </w:pPr>
      <w:r w:rsidRPr="00FD6C3B">
        <w:t>Le président du jury s’assure que les principes de neutralité et d’équité sont respectés tout au long du processus.</w:t>
      </w:r>
    </w:p>
    <w:p w14:paraId="5A2C70E6" w14:textId="77777777" w:rsidR="002D2312" w:rsidRPr="00FD6C3B" w:rsidRDefault="002D2312" w:rsidP="00FD6C3B">
      <w:pPr>
        <w:jc w:val="both"/>
      </w:pPr>
    </w:p>
    <w:p w14:paraId="5AEADEDC" w14:textId="77777777" w:rsidR="00FD6C3B" w:rsidRPr="00FD6C3B" w:rsidRDefault="00FD6C3B" w:rsidP="00FD6C3B">
      <w:pPr>
        <w:jc w:val="both"/>
        <w:rPr>
          <w:b/>
          <w:bCs/>
        </w:rPr>
      </w:pPr>
      <w:r w:rsidRPr="00FD6C3B">
        <w:rPr>
          <w:b/>
          <w:bCs/>
        </w:rPr>
        <w:t>Article 9 – Obligations des lauréats</w:t>
      </w:r>
    </w:p>
    <w:p w14:paraId="7F747C2E" w14:textId="77777777" w:rsidR="00FD6C3B" w:rsidRPr="00FD6C3B" w:rsidRDefault="00FD6C3B" w:rsidP="00FD6C3B">
      <w:pPr>
        <w:jc w:val="both"/>
      </w:pPr>
      <w:r w:rsidRPr="00FD6C3B">
        <w:t>Les lauréats doivent :</w:t>
      </w:r>
    </w:p>
    <w:p w14:paraId="32CCDDE2" w14:textId="602E0634" w:rsidR="00FD6C3B" w:rsidRPr="00FD6C3B" w:rsidRDefault="00FD6C3B" w:rsidP="00FD6C3B">
      <w:pPr>
        <w:numPr>
          <w:ilvl w:val="0"/>
          <w:numId w:val="36"/>
        </w:numPr>
        <w:jc w:val="both"/>
      </w:pPr>
      <w:r w:rsidRPr="00FD6C3B">
        <w:t>Assister physiquement</w:t>
      </w:r>
      <w:r w:rsidR="008F3A1C">
        <w:t xml:space="preserve"> ou se faire représenter,</w:t>
      </w:r>
      <w:r w:rsidRPr="00FD6C3B">
        <w:t xml:space="preserve"> à la cérémonie de remise des prix</w:t>
      </w:r>
    </w:p>
    <w:p w14:paraId="7868F39A" w14:textId="54AD3B1C" w:rsidR="00FD6C3B" w:rsidRPr="00FD6C3B" w:rsidRDefault="00FD6C3B" w:rsidP="00FD6C3B">
      <w:pPr>
        <w:numPr>
          <w:ilvl w:val="0"/>
          <w:numId w:val="36"/>
        </w:numPr>
        <w:jc w:val="both"/>
      </w:pPr>
      <w:r w:rsidRPr="00FD6C3B">
        <w:t xml:space="preserve">Mentionner le Prix de la médiation scientifique </w:t>
      </w:r>
      <w:r w:rsidR="006F7605">
        <w:t xml:space="preserve">et culturelle </w:t>
      </w:r>
      <w:r w:rsidRPr="00FD6C3B">
        <w:t>du CHAS dans les communications relatives</w:t>
      </w:r>
      <w:r w:rsidR="00B72B95">
        <w:t xml:space="preserve"> à la contribution primée</w:t>
      </w:r>
      <w:r w:rsidRPr="00FD6C3B">
        <w:t>.</w:t>
      </w:r>
    </w:p>
    <w:p w14:paraId="6D56463D" w14:textId="28515C05" w:rsidR="00FD6C3B" w:rsidRPr="00FD6C3B" w:rsidRDefault="00FD6C3B" w:rsidP="00FD6C3B">
      <w:pPr>
        <w:numPr>
          <w:ilvl w:val="0"/>
          <w:numId w:val="36"/>
        </w:numPr>
        <w:jc w:val="both"/>
      </w:pPr>
      <w:r w:rsidRPr="00FD6C3B">
        <w:t xml:space="preserve">Participer aux actions de valorisation </w:t>
      </w:r>
      <w:r w:rsidR="00B72B95">
        <w:t xml:space="preserve">du prix </w:t>
      </w:r>
      <w:r w:rsidRPr="00FD6C3B">
        <w:t>organisées par le CHAS (interviews, conférences, publications, etc.).</w:t>
      </w:r>
    </w:p>
    <w:p w14:paraId="21D19690" w14:textId="77777777" w:rsidR="00FD6C3B" w:rsidRPr="00FD6C3B" w:rsidRDefault="00FD6C3B" w:rsidP="00FD6C3B">
      <w:pPr>
        <w:jc w:val="both"/>
      </w:pPr>
      <w:r w:rsidRPr="00FD6C3B">
        <w:t>Ces obligations visent à assurer la visibilité du prix et à valoriser le travail accompli.</w:t>
      </w:r>
    </w:p>
    <w:p w14:paraId="10EC6A9D" w14:textId="77777777" w:rsidR="002D2312" w:rsidRPr="00FD6C3B" w:rsidRDefault="002D2312" w:rsidP="00FD6C3B">
      <w:pPr>
        <w:jc w:val="both"/>
      </w:pPr>
    </w:p>
    <w:p w14:paraId="403C2AA4" w14:textId="77777777" w:rsidR="00FD6C3B" w:rsidRPr="00FD6C3B" w:rsidRDefault="00FD6C3B" w:rsidP="00FD6C3B">
      <w:pPr>
        <w:jc w:val="both"/>
        <w:rPr>
          <w:b/>
          <w:bCs/>
        </w:rPr>
      </w:pPr>
      <w:r w:rsidRPr="00FD6C3B">
        <w:rPr>
          <w:b/>
          <w:bCs/>
        </w:rPr>
        <w:t>Article 10 – Acceptation du règlement</w:t>
      </w:r>
    </w:p>
    <w:p w14:paraId="5F3CB4A9" w14:textId="17A292B9" w:rsidR="00FD6C3B" w:rsidRPr="00FD6C3B" w:rsidRDefault="00FD6C3B" w:rsidP="00FD6C3B">
      <w:pPr>
        <w:jc w:val="both"/>
      </w:pPr>
      <w:r w:rsidRPr="00FD6C3B">
        <w:t xml:space="preserve">La participation au Prix de la médiation scientifique </w:t>
      </w:r>
      <w:r w:rsidR="006F7605">
        <w:t xml:space="preserve">et culturelle </w:t>
      </w:r>
      <w:r w:rsidRPr="00FD6C3B">
        <w:t>implique l’acceptation pleine et entière des termes du présent règlement. Tout manquement aux obligations énoncées peut entraîner la disqualification ou le retrait du prix.</w:t>
      </w:r>
    </w:p>
    <w:p w14:paraId="40AE2115" w14:textId="77777777" w:rsidR="00FD6C3B" w:rsidRPr="00FD6C3B" w:rsidRDefault="00FD6C3B" w:rsidP="00FD6C3B"/>
    <w:sectPr w:rsidR="00FD6C3B" w:rsidRPr="00FD6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851"/>
    <w:multiLevelType w:val="multilevel"/>
    <w:tmpl w:val="29540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0321B"/>
    <w:multiLevelType w:val="multilevel"/>
    <w:tmpl w:val="0638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704DC"/>
    <w:multiLevelType w:val="multilevel"/>
    <w:tmpl w:val="5BDA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F34A8"/>
    <w:multiLevelType w:val="multilevel"/>
    <w:tmpl w:val="ACF4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12C67"/>
    <w:multiLevelType w:val="multilevel"/>
    <w:tmpl w:val="57B0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D1EA6"/>
    <w:multiLevelType w:val="multilevel"/>
    <w:tmpl w:val="E8209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A4E75"/>
    <w:multiLevelType w:val="multilevel"/>
    <w:tmpl w:val="2B246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D4029"/>
    <w:multiLevelType w:val="multilevel"/>
    <w:tmpl w:val="4800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157C7"/>
    <w:multiLevelType w:val="multilevel"/>
    <w:tmpl w:val="51E2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204FA"/>
    <w:multiLevelType w:val="multilevel"/>
    <w:tmpl w:val="1A12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4199E"/>
    <w:multiLevelType w:val="multilevel"/>
    <w:tmpl w:val="CE7E4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AE48C0"/>
    <w:multiLevelType w:val="multilevel"/>
    <w:tmpl w:val="68365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FC2BE9"/>
    <w:multiLevelType w:val="multilevel"/>
    <w:tmpl w:val="878CA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057EBD"/>
    <w:multiLevelType w:val="multilevel"/>
    <w:tmpl w:val="F95E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A1C86"/>
    <w:multiLevelType w:val="multilevel"/>
    <w:tmpl w:val="F820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A53CA6"/>
    <w:multiLevelType w:val="multilevel"/>
    <w:tmpl w:val="F908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192550"/>
    <w:multiLevelType w:val="multilevel"/>
    <w:tmpl w:val="34F2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405BF"/>
    <w:multiLevelType w:val="multilevel"/>
    <w:tmpl w:val="1B54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F60D2"/>
    <w:multiLevelType w:val="multilevel"/>
    <w:tmpl w:val="650C0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A44F9"/>
    <w:multiLevelType w:val="multilevel"/>
    <w:tmpl w:val="765E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AD5B00"/>
    <w:multiLevelType w:val="multilevel"/>
    <w:tmpl w:val="8C40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9511A4"/>
    <w:multiLevelType w:val="multilevel"/>
    <w:tmpl w:val="063C8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400151"/>
    <w:multiLevelType w:val="multilevel"/>
    <w:tmpl w:val="56B0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ED64F6"/>
    <w:multiLevelType w:val="multilevel"/>
    <w:tmpl w:val="0F72E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755B03"/>
    <w:multiLevelType w:val="multilevel"/>
    <w:tmpl w:val="8A48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E05C17"/>
    <w:multiLevelType w:val="multilevel"/>
    <w:tmpl w:val="3C80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003D5"/>
    <w:multiLevelType w:val="multilevel"/>
    <w:tmpl w:val="5DA61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F1289B"/>
    <w:multiLevelType w:val="multilevel"/>
    <w:tmpl w:val="F750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626D44"/>
    <w:multiLevelType w:val="multilevel"/>
    <w:tmpl w:val="24B0E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104220"/>
    <w:multiLevelType w:val="multilevel"/>
    <w:tmpl w:val="F0A6A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9F14CD"/>
    <w:multiLevelType w:val="multilevel"/>
    <w:tmpl w:val="7AB2A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274676"/>
    <w:multiLevelType w:val="multilevel"/>
    <w:tmpl w:val="D1FA1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304D5C"/>
    <w:multiLevelType w:val="multilevel"/>
    <w:tmpl w:val="1AB87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654A71"/>
    <w:multiLevelType w:val="multilevel"/>
    <w:tmpl w:val="5096E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3235EF"/>
    <w:multiLevelType w:val="multilevel"/>
    <w:tmpl w:val="9D52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A2573"/>
    <w:multiLevelType w:val="multilevel"/>
    <w:tmpl w:val="E94A7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527056">
    <w:abstractNumId w:val="24"/>
  </w:num>
  <w:num w:numId="2" w16cid:durableId="550112871">
    <w:abstractNumId w:val="8"/>
  </w:num>
  <w:num w:numId="3" w16cid:durableId="331568224">
    <w:abstractNumId w:val="33"/>
  </w:num>
  <w:num w:numId="4" w16cid:durableId="1224488416">
    <w:abstractNumId w:val="11"/>
  </w:num>
  <w:num w:numId="5" w16cid:durableId="1027950174">
    <w:abstractNumId w:val="19"/>
  </w:num>
  <w:num w:numId="6" w16cid:durableId="1285692626">
    <w:abstractNumId w:val="12"/>
  </w:num>
  <w:num w:numId="7" w16cid:durableId="1930000164">
    <w:abstractNumId w:val="15"/>
  </w:num>
  <w:num w:numId="8" w16cid:durableId="1543639488">
    <w:abstractNumId w:val="6"/>
  </w:num>
  <w:num w:numId="9" w16cid:durableId="1699234964">
    <w:abstractNumId w:val="28"/>
  </w:num>
  <w:num w:numId="10" w16cid:durableId="991376445">
    <w:abstractNumId w:val="22"/>
  </w:num>
  <w:num w:numId="11" w16cid:durableId="234248185">
    <w:abstractNumId w:val="1"/>
  </w:num>
  <w:num w:numId="12" w16cid:durableId="1374619390">
    <w:abstractNumId w:val="0"/>
  </w:num>
  <w:num w:numId="13" w16cid:durableId="234438830">
    <w:abstractNumId w:val="18"/>
  </w:num>
  <w:num w:numId="14" w16cid:durableId="1144391729">
    <w:abstractNumId w:val="16"/>
  </w:num>
  <w:num w:numId="15" w16cid:durableId="946959520">
    <w:abstractNumId w:val="14"/>
  </w:num>
  <w:num w:numId="16" w16cid:durableId="1720786327">
    <w:abstractNumId w:val="3"/>
  </w:num>
  <w:num w:numId="17" w16cid:durableId="928732588">
    <w:abstractNumId w:val="31"/>
  </w:num>
  <w:num w:numId="18" w16cid:durableId="1809976275">
    <w:abstractNumId w:val="21"/>
  </w:num>
  <w:num w:numId="19" w16cid:durableId="364214346">
    <w:abstractNumId w:val="25"/>
  </w:num>
  <w:num w:numId="20" w16cid:durableId="1813982888">
    <w:abstractNumId w:val="34"/>
  </w:num>
  <w:num w:numId="21" w16cid:durableId="895968850">
    <w:abstractNumId w:val="20"/>
  </w:num>
  <w:num w:numId="22" w16cid:durableId="421294874">
    <w:abstractNumId w:val="35"/>
  </w:num>
  <w:num w:numId="23" w16cid:durableId="1907842006">
    <w:abstractNumId w:val="7"/>
  </w:num>
  <w:num w:numId="24" w16cid:durableId="101729771">
    <w:abstractNumId w:val="5"/>
  </w:num>
  <w:num w:numId="25" w16cid:durableId="407313913">
    <w:abstractNumId w:val="17"/>
  </w:num>
  <w:num w:numId="26" w16cid:durableId="1772428665">
    <w:abstractNumId w:val="23"/>
  </w:num>
  <w:num w:numId="27" w16cid:durableId="71121618">
    <w:abstractNumId w:val="32"/>
  </w:num>
  <w:num w:numId="28" w16cid:durableId="438111701">
    <w:abstractNumId w:val="2"/>
  </w:num>
  <w:num w:numId="29" w16cid:durableId="2120442315">
    <w:abstractNumId w:val="9"/>
  </w:num>
  <w:num w:numId="30" w16cid:durableId="1495299220">
    <w:abstractNumId w:val="30"/>
  </w:num>
  <w:num w:numId="31" w16cid:durableId="1769739876">
    <w:abstractNumId w:val="13"/>
  </w:num>
  <w:num w:numId="32" w16cid:durableId="2000234388">
    <w:abstractNumId w:val="26"/>
  </w:num>
  <w:num w:numId="33" w16cid:durableId="1382166686">
    <w:abstractNumId w:val="4"/>
  </w:num>
  <w:num w:numId="34" w16cid:durableId="1778330168">
    <w:abstractNumId w:val="29"/>
  </w:num>
  <w:num w:numId="35" w16cid:durableId="2102411383">
    <w:abstractNumId w:val="10"/>
  </w:num>
  <w:num w:numId="36" w16cid:durableId="14211734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3B"/>
    <w:rsid w:val="000C558F"/>
    <w:rsid w:val="00126D58"/>
    <w:rsid w:val="00241357"/>
    <w:rsid w:val="002D2312"/>
    <w:rsid w:val="004D60AE"/>
    <w:rsid w:val="00532E74"/>
    <w:rsid w:val="005B09FD"/>
    <w:rsid w:val="005D3E81"/>
    <w:rsid w:val="005E524C"/>
    <w:rsid w:val="006F7605"/>
    <w:rsid w:val="008F3A1C"/>
    <w:rsid w:val="00956719"/>
    <w:rsid w:val="009E08F9"/>
    <w:rsid w:val="00AF4A2D"/>
    <w:rsid w:val="00B72B95"/>
    <w:rsid w:val="00E64991"/>
    <w:rsid w:val="00E67847"/>
    <w:rsid w:val="00F94EB9"/>
    <w:rsid w:val="00FD6C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8737"/>
  <w15:chartTrackingRefBased/>
  <w15:docId w15:val="{F5A2AD72-926B-48E6-AA41-6E804E81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D6C3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D6C3B"/>
    <w:rPr>
      <w:rFonts w:ascii="Times New Roman" w:eastAsia="Times New Roman" w:hAnsi="Times New Roman" w:cs="Times New Roman"/>
      <w:b/>
      <w:bCs/>
      <w:kern w:val="0"/>
      <w:sz w:val="27"/>
      <w:szCs w:val="27"/>
      <w:lang w:eastAsia="fr-FR"/>
      <w14:ligatures w14:val="none"/>
    </w:rPr>
  </w:style>
  <w:style w:type="character" w:styleId="lev">
    <w:name w:val="Strong"/>
    <w:basedOn w:val="Policepardfaut"/>
    <w:uiPriority w:val="22"/>
    <w:qFormat/>
    <w:rsid w:val="00FD6C3B"/>
    <w:rPr>
      <w:b/>
      <w:bCs/>
    </w:rPr>
  </w:style>
  <w:style w:type="paragraph" w:styleId="NormalWeb">
    <w:name w:val="Normal (Web)"/>
    <w:basedOn w:val="Normal"/>
    <w:uiPriority w:val="99"/>
    <w:semiHidden/>
    <w:unhideWhenUsed/>
    <w:rsid w:val="00FD6C3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Marquedecommentaire">
    <w:name w:val="annotation reference"/>
    <w:basedOn w:val="Policepardfaut"/>
    <w:uiPriority w:val="99"/>
    <w:semiHidden/>
    <w:unhideWhenUsed/>
    <w:rsid w:val="002D2312"/>
    <w:rPr>
      <w:sz w:val="16"/>
      <w:szCs w:val="16"/>
    </w:rPr>
  </w:style>
  <w:style w:type="paragraph" w:styleId="Commentaire">
    <w:name w:val="annotation text"/>
    <w:basedOn w:val="Normal"/>
    <w:link w:val="CommentaireCar"/>
    <w:uiPriority w:val="99"/>
    <w:unhideWhenUsed/>
    <w:rsid w:val="002D2312"/>
    <w:pPr>
      <w:spacing w:line="240" w:lineRule="auto"/>
    </w:pPr>
    <w:rPr>
      <w:sz w:val="20"/>
      <w:szCs w:val="20"/>
    </w:rPr>
  </w:style>
  <w:style w:type="character" w:customStyle="1" w:styleId="CommentaireCar">
    <w:name w:val="Commentaire Car"/>
    <w:basedOn w:val="Policepardfaut"/>
    <w:link w:val="Commentaire"/>
    <w:uiPriority w:val="99"/>
    <w:rsid w:val="002D2312"/>
    <w:rPr>
      <w:sz w:val="20"/>
      <w:szCs w:val="20"/>
    </w:rPr>
  </w:style>
  <w:style w:type="paragraph" w:styleId="Objetducommentaire">
    <w:name w:val="annotation subject"/>
    <w:basedOn w:val="Commentaire"/>
    <w:next w:val="Commentaire"/>
    <w:link w:val="ObjetducommentaireCar"/>
    <w:uiPriority w:val="99"/>
    <w:semiHidden/>
    <w:unhideWhenUsed/>
    <w:rsid w:val="002D2312"/>
    <w:rPr>
      <w:b/>
      <w:bCs/>
    </w:rPr>
  </w:style>
  <w:style w:type="character" w:customStyle="1" w:styleId="ObjetducommentaireCar">
    <w:name w:val="Objet du commentaire Car"/>
    <w:basedOn w:val="CommentaireCar"/>
    <w:link w:val="Objetducommentaire"/>
    <w:uiPriority w:val="99"/>
    <w:semiHidden/>
    <w:rsid w:val="002D2312"/>
    <w:rPr>
      <w:b/>
      <w:bCs/>
      <w:sz w:val="20"/>
      <w:szCs w:val="20"/>
    </w:rPr>
  </w:style>
  <w:style w:type="paragraph" w:styleId="Paragraphedeliste">
    <w:name w:val="List Paragraph"/>
    <w:basedOn w:val="Normal"/>
    <w:uiPriority w:val="34"/>
    <w:qFormat/>
    <w:rsid w:val="000C558F"/>
    <w:pPr>
      <w:ind w:left="720"/>
      <w:contextualSpacing/>
    </w:pPr>
  </w:style>
  <w:style w:type="paragraph" w:styleId="Rvision">
    <w:name w:val="Revision"/>
    <w:hidden/>
    <w:uiPriority w:val="99"/>
    <w:semiHidden/>
    <w:rsid w:val="005B09FD"/>
    <w:pPr>
      <w:spacing w:after="0" w:line="240" w:lineRule="auto"/>
    </w:pPr>
  </w:style>
  <w:style w:type="paragraph" w:styleId="Textedebulles">
    <w:name w:val="Balloon Text"/>
    <w:basedOn w:val="Normal"/>
    <w:link w:val="TextedebullesCar"/>
    <w:uiPriority w:val="99"/>
    <w:semiHidden/>
    <w:unhideWhenUsed/>
    <w:rsid w:val="00F94E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4E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4501">
      <w:bodyDiv w:val="1"/>
      <w:marLeft w:val="0"/>
      <w:marRight w:val="0"/>
      <w:marTop w:val="0"/>
      <w:marBottom w:val="0"/>
      <w:divBdr>
        <w:top w:val="none" w:sz="0" w:space="0" w:color="auto"/>
        <w:left w:val="none" w:sz="0" w:space="0" w:color="auto"/>
        <w:bottom w:val="none" w:sz="0" w:space="0" w:color="auto"/>
        <w:right w:val="none" w:sz="0" w:space="0" w:color="auto"/>
      </w:divBdr>
    </w:div>
    <w:div w:id="1685086985">
      <w:bodyDiv w:val="1"/>
      <w:marLeft w:val="0"/>
      <w:marRight w:val="0"/>
      <w:marTop w:val="0"/>
      <w:marBottom w:val="0"/>
      <w:divBdr>
        <w:top w:val="none" w:sz="0" w:space="0" w:color="auto"/>
        <w:left w:val="none" w:sz="0" w:space="0" w:color="auto"/>
        <w:bottom w:val="none" w:sz="0" w:space="0" w:color="auto"/>
        <w:right w:val="none" w:sz="0" w:space="0" w:color="auto"/>
      </w:divBdr>
    </w:div>
    <w:div w:id="1845633186">
      <w:bodyDiv w:val="1"/>
      <w:marLeft w:val="0"/>
      <w:marRight w:val="0"/>
      <w:marTop w:val="0"/>
      <w:marBottom w:val="0"/>
      <w:divBdr>
        <w:top w:val="none" w:sz="0" w:space="0" w:color="auto"/>
        <w:left w:val="none" w:sz="0" w:space="0" w:color="auto"/>
        <w:bottom w:val="none" w:sz="0" w:space="0" w:color="auto"/>
        <w:right w:val="none" w:sz="0" w:space="0" w:color="auto"/>
      </w:divBdr>
    </w:div>
    <w:div w:id="20927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6061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PAILLON, Jean-Emmanuel (SGMCAS)</dc:creator>
  <cp:keywords/>
  <dc:description/>
  <cp:lastModifiedBy>PAILLON, Jean-Emmanuel (SGMCAS)</cp:lastModifiedBy>
  <cp:revision>2</cp:revision>
  <dcterms:created xsi:type="dcterms:W3CDTF">2024-12-17T16:02:00Z</dcterms:created>
  <dcterms:modified xsi:type="dcterms:W3CDTF">2024-12-17T16:02:00Z</dcterms:modified>
</cp:coreProperties>
</file>