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F9713" w14:textId="4323E148" w:rsidR="004B167A" w:rsidRPr="000372C8" w:rsidRDefault="00BC2F7B" w:rsidP="00FC7E5D">
      <w:pPr>
        <w:jc w:val="center"/>
        <w:rPr>
          <w:b/>
          <w:bCs/>
        </w:rPr>
      </w:pPr>
      <w:r w:rsidRPr="000372C8">
        <w:rPr>
          <w:b/>
          <w:bCs/>
        </w:rPr>
        <w:t>Synthèse sur la gestion documentaire du Dossier Médical de Santé au Travail (DMST)</w:t>
      </w:r>
    </w:p>
    <w:p w14:paraId="07AE6F0A" w14:textId="77777777" w:rsidR="00BC2F7B" w:rsidRDefault="00BC2F7B" w:rsidP="005329E1">
      <w:pPr>
        <w:jc w:val="both"/>
      </w:pPr>
    </w:p>
    <w:p w14:paraId="29410E0A" w14:textId="7F56A862" w:rsidR="00BC2F7B" w:rsidRDefault="00BC2F7B" w:rsidP="005329E1">
      <w:pPr>
        <w:jc w:val="both"/>
      </w:pPr>
      <w:r w:rsidRPr="000372C8">
        <w:rPr>
          <w:b/>
          <w:bCs/>
        </w:rPr>
        <w:t>Contexte</w:t>
      </w:r>
      <w:r>
        <w:t> :</w:t>
      </w:r>
      <w:r w:rsidR="005329E1">
        <w:t xml:space="preserve"> </w:t>
      </w:r>
      <w:r w:rsidR="00FC7E5D">
        <w:t xml:space="preserve">Le DMST est produit par le service de médecine du travail. </w:t>
      </w:r>
      <w:r w:rsidR="001B737C">
        <w:t>On retrouve dans plusieurs établissements la question de la gestion de ce dossier suite au départ d’un agent : quel service doit se charger de sa conservation, le service des Archives ou la médecine du travail ?</w:t>
      </w:r>
    </w:p>
    <w:p w14:paraId="12CB531F" w14:textId="505DEB8C" w:rsidR="00BC2F7B" w:rsidRDefault="00BC2F7B" w:rsidP="005329E1">
      <w:pPr>
        <w:jc w:val="both"/>
      </w:pPr>
      <w:r>
        <w:t>Réponses : une vingtaine</w:t>
      </w:r>
      <w:r w:rsidR="00EA7EC7">
        <w:t xml:space="preserve"> dont </w:t>
      </w:r>
    </w:p>
    <w:p w14:paraId="0B91441A" w14:textId="1C1AC9D6" w:rsidR="00EA7EC7" w:rsidRDefault="00EA7EC7" w:rsidP="00002732">
      <w:pPr>
        <w:pStyle w:val="Paragraphedeliste"/>
        <w:numPr>
          <w:ilvl w:val="0"/>
          <w:numId w:val="2"/>
        </w:numPr>
        <w:jc w:val="both"/>
      </w:pPr>
      <w:r>
        <w:t xml:space="preserve">4 </w:t>
      </w:r>
      <w:r w:rsidR="00002732">
        <w:t>é</w:t>
      </w:r>
      <w:r>
        <w:t>tablissements d’enseignement supérieur</w:t>
      </w:r>
    </w:p>
    <w:p w14:paraId="574600D3" w14:textId="05A05399" w:rsidR="00EA7EC7" w:rsidRDefault="00EA7EC7" w:rsidP="00002732">
      <w:pPr>
        <w:pStyle w:val="Paragraphedeliste"/>
        <w:numPr>
          <w:ilvl w:val="0"/>
          <w:numId w:val="2"/>
        </w:numPr>
        <w:jc w:val="both"/>
      </w:pPr>
      <w:r>
        <w:t>1 rectorat</w:t>
      </w:r>
    </w:p>
    <w:p w14:paraId="1123346A" w14:textId="3224B9F4" w:rsidR="00EA7EC7" w:rsidRDefault="00EA7EC7" w:rsidP="00002732">
      <w:pPr>
        <w:pStyle w:val="Paragraphedeliste"/>
        <w:numPr>
          <w:ilvl w:val="0"/>
          <w:numId w:val="2"/>
        </w:numPr>
        <w:jc w:val="both"/>
      </w:pPr>
      <w:r>
        <w:t>4 établissements de santé</w:t>
      </w:r>
    </w:p>
    <w:p w14:paraId="1676525A" w14:textId="0C4F97B0" w:rsidR="00EA7EC7" w:rsidRDefault="00EA7EC7" w:rsidP="00002732">
      <w:pPr>
        <w:pStyle w:val="Paragraphedeliste"/>
        <w:numPr>
          <w:ilvl w:val="0"/>
          <w:numId w:val="2"/>
        </w:numPr>
        <w:jc w:val="both"/>
      </w:pPr>
      <w:r>
        <w:t>2 Archives municipales</w:t>
      </w:r>
    </w:p>
    <w:p w14:paraId="60ECB28E" w14:textId="54A679CA" w:rsidR="00EA7EC7" w:rsidRDefault="00EA7EC7" w:rsidP="00002732">
      <w:pPr>
        <w:pStyle w:val="Paragraphedeliste"/>
        <w:numPr>
          <w:ilvl w:val="0"/>
          <w:numId w:val="2"/>
        </w:numPr>
        <w:jc w:val="both"/>
      </w:pPr>
      <w:r>
        <w:t>1 Archives départementales</w:t>
      </w:r>
    </w:p>
    <w:p w14:paraId="48CE1ABF" w14:textId="2435EDC8" w:rsidR="00EA7EC7" w:rsidRDefault="00EA7EC7" w:rsidP="00002732">
      <w:pPr>
        <w:pStyle w:val="Paragraphedeliste"/>
        <w:numPr>
          <w:ilvl w:val="0"/>
          <w:numId w:val="2"/>
        </w:numPr>
        <w:jc w:val="both"/>
      </w:pPr>
      <w:r>
        <w:t>2 établissements publics</w:t>
      </w:r>
    </w:p>
    <w:p w14:paraId="003F4611" w14:textId="79E23B0C" w:rsidR="00EA7EC7" w:rsidRDefault="00EA7EC7" w:rsidP="00002732">
      <w:pPr>
        <w:pStyle w:val="Paragraphedeliste"/>
        <w:numPr>
          <w:ilvl w:val="0"/>
          <w:numId w:val="2"/>
        </w:numPr>
        <w:jc w:val="both"/>
      </w:pPr>
      <w:r>
        <w:t>2 établissements privés</w:t>
      </w:r>
    </w:p>
    <w:p w14:paraId="5A3528BD" w14:textId="186C02F0" w:rsidR="00AB53F5" w:rsidRDefault="00AB53F5" w:rsidP="00002732">
      <w:pPr>
        <w:pStyle w:val="Paragraphedeliste"/>
        <w:numPr>
          <w:ilvl w:val="0"/>
          <w:numId w:val="2"/>
        </w:numPr>
        <w:jc w:val="both"/>
      </w:pPr>
      <w:r>
        <w:t>1 syndicat</w:t>
      </w:r>
    </w:p>
    <w:p w14:paraId="0E3C038F" w14:textId="667F893F" w:rsidR="00BC2F7B" w:rsidRDefault="00BC2F7B" w:rsidP="005329E1">
      <w:pPr>
        <w:jc w:val="both"/>
      </w:pPr>
      <w:r w:rsidRPr="0045451B">
        <w:rPr>
          <w:b/>
          <w:bCs/>
        </w:rPr>
        <w:t>Cas 1</w:t>
      </w:r>
      <w:r>
        <w:t xml:space="preserve"> : </w:t>
      </w:r>
      <w:r w:rsidRPr="005329E1">
        <w:rPr>
          <w:sz w:val="24"/>
          <w:szCs w:val="24"/>
        </w:rPr>
        <w:t>le DMST est géré de sa production à sa conservation par le médecin du travail</w:t>
      </w:r>
    </w:p>
    <w:p w14:paraId="6C165267" w14:textId="642579D1" w:rsidR="0045451B" w:rsidRDefault="0045451B" w:rsidP="005329E1">
      <w:pPr>
        <w:jc w:val="both"/>
      </w:pPr>
      <w:r>
        <w:t>Au départ de l’agent, le dossier est conservé par le médecin du travail dans ses locaux. Le service des Archives n’intervient pas dans le cycle de vie du document.</w:t>
      </w:r>
    </w:p>
    <w:p w14:paraId="0C4EEEDF" w14:textId="6E19858F" w:rsidR="00EA7EC7" w:rsidRDefault="00EA7EC7" w:rsidP="005329E1">
      <w:pPr>
        <w:jc w:val="both"/>
      </w:pPr>
      <w:r>
        <w:t xml:space="preserve">Note : c’est le mode de gestion </w:t>
      </w:r>
      <w:r w:rsidR="000372C8">
        <w:t>qu’on retrouve particulièrement en</w:t>
      </w:r>
      <w:r>
        <w:t xml:space="preserve"> établissements de santé</w:t>
      </w:r>
      <w:r w:rsidR="000372C8">
        <w:t xml:space="preserve">. Cela suppose néanmoins une capacité du service de la médecine du travail à conserver les dossiers (espaces de stockage, suivi du cycle de vie des documents, personnel disponible, </w:t>
      </w:r>
      <w:proofErr w:type="spellStart"/>
      <w:r w:rsidR="000372C8">
        <w:t>etc</w:t>
      </w:r>
      <w:proofErr w:type="spellEnd"/>
      <w:r w:rsidR="000372C8">
        <w:t>)</w:t>
      </w:r>
    </w:p>
    <w:p w14:paraId="11935E62" w14:textId="77777777" w:rsidR="000372C8" w:rsidRDefault="000372C8" w:rsidP="005329E1">
      <w:pPr>
        <w:jc w:val="both"/>
      </w:pPr>
    </w:p>
    <w:p w14:paraId="1B095E4C" w14:textId="22D4F012" w:rsidR="00BC2F7B" w:rsidRPr="005329E1" w:rsidRDefault="00BC2F7B" w:rsidP="005329E1">
      <w:pPr>
        <w:jc w:val="both"/>
        <w:rPr>
          <w:sz w:val="24"/>
          <w:szCs w:val="24"/>
        </w:rPr>
      </w:pPr>
      <w:r w:rsidRPr="0045451B">
        <w:rPr>
          <w:b/>
          <w:bCs/>
        </w:rPr>
        <w:t>Cas 2</w:t>
      </w:r>
      <w:r>
        <w:t xml:space="preserve"> : </w:t>
      </w:r>
      <w:r w:rsidRPr="005329E1">
        <w:rPr>
          <w:sz w:val="24"/>
          <w:szCs w:val="24"/>
        </w:rPr>
        <w:t>Le DMST est conservé conjointement par le service des Archives et le médecin du travail</w:t>
      </w:r>
    </w:p>
    <w:p w14:paraId="7BE9E610" w14:textId="1573E051" w:rsidR="0045451B" w:rsidRDefault="0045451B" w:rsidP="005329E1">
      <w:pPr>
        <w:jc w:val="both"/>
      </w:pPr>
      <w:r>
        <w:t xml:space="preserve">Au départ de l’agent, le dossier est conservé dans les locaux du service des Archives, mais les archivistes n’ont pas accès au dossier. Généralement, une armoire dédiée fermée à clé, dont seul le médecin du travail </w:t>
      </w:r>
      <w:r w:rsidR="000372C8">
        <w:t>a</w:t>
      </w:r>
      <w:r>
        <w:t xml:space="preserve"> accès. Cela suppose donc un accès aux locaux de stockage du service des Archives par le médecin du travail ainsi que du matériel spécifique.</w:t>
      </w:r>
    </w:p>
    <w:p w14:paraId="30C503A4" w14:textId="547C2D64" w:rsidR="00EA7EC7" w:rsidRDefault="00EA7EC7" w:rsidP="005329E1">
      <w:pPr>
        <w:jc w:val="both"/>
      </w:pPr>
      <w:r>
        <w:t>Note : pratique</w:t>
      </w:r>
      <w:r w:rsidR="000372C8">
        <w:t xml:space="preserve"> </w:t>
      </w:r>
      <w:r>
        <w:t xml:space="preserve">courante </w:t>
      </w:r>
      <w:r w:rsidR="00E85CDA">
        <w:t>qu’on retrouve en archives municipales, dans le privé et quelques établissements de santé</w:t>
      </w:r>
    </w:p>
    <w:p w14:paraId="3E6E05D8" w14:textId="77777777" w:rsidR="000372C8" w:rsidRDefault="000372C8" w:rsidP="005329E1">
      <w:pPr>
        <w:jc w:val="both"/>
      </w:pPr>
    </w:p>
    <w:p w14:paraId="0329EC10" w14:textId="51212F29" w:rsidR="00BC2F7B" w:rsidRPr="005329E1" w:rsidRDefault="00BC2F7B" w:rsidP="005329E1">
      <w:pPr>
        <w:jc w:val="both"/>
        <w:rPr>
          <w:sz w:val="24"/>
          <w:szCs w:val="24"/>
        </w:rPr>
      </w:pPr>
      <w:r w:rsidRPr="0045451B">
        <w:rPr>
          <w:b/>
          <w:bCs/>
        </w:rPr>
        <w:t>Cas 3</w:t>
      </w:r>
      <w:r>
        <w:t xml:space="preserve"> : </w:t>
      </w:r>
      <w:r w:rsidRPr="005329E1">
        <w:rPr>
          <w:sz w:val="24"/>
          <w:szCs w:val="24"/>
        </w:rPr>
        <w:t>Le DMST est conservé par le service des Archives uniquement</w:t>
      </w:r>
    </w:p>
    <w:p w14:paraId="59F2C90D" w14:textId="58BE384E" w:rsidR="00BC2F7B" w:rsidRDefault="00BC2F7B" w:rsidP="005329E1">
      <w:pPr>
        <w:pStyle w:val="Paragraphedeliste"/>
        <w:numPr>
          <w:ilvl w:val="0"/>
          <w:numId w:val="1"/>
        </w:numPr>
        <w:jc w:val="both"/>
      </w:pPr>
      <w:r>
        <w:t>Le DMST est versé par le médecin du travail</w:t>
      </w:r>
    </w:p>
    <w:p w14:paraId="2F176C9A" w14:textId="77777777" w:rsidR="000372C8" w:rsidRDefault="0045451B" w:rsidP="005329E1">
      <w:pPr>
        <w:jc w:val="both"/>
      </w:pPr>
      <w:r>
        <w:t xml:space="preserve">Au départ de l’agent, </w:t>
      </w:r>
      <w:r w:rsidR="00A20F71">
        <w:t>un versement est préparé par la médecine du travail. On retrouve l’usage de plis confidentiels et de chiffrement des données dans les bordereaux. Seule la cote figure sur les boîtes. Le médecin est le seul à pouvoir consulter les dossiers. Le versement et la destruction sont encadrées strictement.</w:t>
      </w:r>
      <w:r w:rsidR="000372C8">
        <w:t xml:space="preserve"> </w:t>
      </w:r>
    </w:p>
    <w:p w14:paraId="40DFA0C0" w14:textId="00553890" w:rsidR="000372C8" w:rsidRDefault="000372C8" w:rsidP="000372C8">
      <w:pPr>
        <w:jc w:val="both"/>
      </w:pPr>
      <w:r>
        <w:t>Note : Ce cas est quasiment similaire au cas 2, mais il y a un versement au service des Archives et pas simplement un stockage des dossiers au service des Archives.</w:t>
      </w:r>
    </w:p>
    <w:p w14:paraId="7F730441" w14:textId="6819B28C" w:rsidR="00BC2F7B" w:rsidRDefault="00BC2F7B" w:rsidP="005329E1">
      <w:pPr>
        <w:pStyle w:val="Paragraphedeliste"/>
        <w:numPr>
          <w:ilvl w:val="0"/>
          <w:numId w:val="1"/>
        </w:numPr>
        <w:jc w:val="both"/>
      </w:pPr>
      <w:r>
        <w:lastRenderedPageBreak/>
        <w:t>Le DMST est versé par la Direction des Ressources Humaines</w:t>
      </w:r>
    </w:p>
    <w:p w14:paraId="33AB80CB" w14:textId="003EAF70" w:rsidR="00A20F71" w:rsidRDefault="00A20F71" w:rsidP="005329E1">
      <w:pPr>
        <w:jc w:val="both"/>
      </w:pPr>
      <w:r>
        <w:t xml:space="preserve">La Direction des Ressources Humaines centralise les DMST et </w:t>
      </w:r>
      <w:r w:rsidR="005329E1">
        <w:t xml:space="preserve">prépare </w:t>
      </w:r>
      <w:r>
        <w:t xml:space="preserve">le versement. Le DMST est parfois intégré au dossier administratif de l’agent à son départ. </w:t>
      </w:r>
    </w:p>
    <w:p w14:paraId="35427753" w14:textId="4D51FCCE" w:rsidR="001B737C" w:rsidRDefault="00EA7EC7" w:rsidP="005329E1">
      <w:pPr>
        <w:jc w:val="both"/>
      </w:pPr>
      <w:r>
        <w:t>Note : Pratique plus rare mais qu’on retrouve en archives municipales ou archives universitaires</w:t>
      </w:r>
      <w:r w:rsidR="001B737C">
        <w:t>. Pose des questions de confidentialité sur le contenu des dossiers.</w:t>
      </w:r>
    </w:p>
    <w:p w14:paraId="37E31119" w14:textId="77777777" w:rsidR="000372C8" w:rsidRDefault="000372C8" w:rsidP="005329E1">
      <w:pPr>
        <w:jc w:val="both"/>
      </w:pPr>
    </w:p>
    <w:p w14:paraId="5D37D8FE" w14:textId="748ADCB1" w:rsidR="001B737C" w:rsidRPr="000372C8" w:rsidRDefault="001B737C" w:rsidP="005329E1">
      <w:pPr>
        <w:jc w:val="both"/>
        <w:rPr>
          <w:b/>
          <w:bCs/>
        </w:rPr>
      </w:pPr>
      <w:r w:rsidRPr="000372C8">
        <w:rPr>
          <w:b/>
          <w:bCs/>
        </w:rPr>
        <w:t>Conclusion :</w:t>
      </w:r>
    </w:p>
    <w:p w14:paraId="7E8ADF5A" w14:textId="11F0C10E" w:rsidR="001B737C" w:rsidRDefault="001B737C" w:rsidP="005329E1">
      <w:pPr>
        <w:jc w:val="both"/>
      </w:pPr>
      <w:r>
        <w:t>Divers pratiques coexistent autour de la gestion du DMST. Dans la majorité des cas, ce sont des contraintes matérielles qui orientent la gestion du DMST (espaces disponibles, sécurité des lieux de stockage, vacances de postes…). Il semble ne pas y avoir un consensus sur les règles de gestion, le DMST étant un document d’archives à la croisée des archives intermédiaires et du dossier de patient dont la gestion en milieu hospitalier est réglementée. Un dialogue entre l’archiviste et la médecine du travail semble nécessaire pour trouver une solution en fonction des moyens de chaque établissement, pour permettre la sécurité et la bonne gestion du document.</w:t>
      </w:r>
    </w:p>
    <w:p w14:paraId="19802D36" w14:textId="77777777" w:rsidR="000372C8" w:rsidRDefault="000372C8" w:rsidP="005329E1">
      <w:pPr>
        <w:jc w:val="both"/>
      </w:pPr>
    </w:p>
    <w:p w14:paraId="3ABF7603" w14:textId="2E03201C" w:rsidR="00EE7DAD" w:rsidRPr="000372C8" w:rsidRDefault="00EE7DAD" w:rsidP="005329E1">
      <w:pPr>
        <w:jc w:val="both"/>
        <w:rPr>
          <w:b/>
          <w:bCs/>
        </w:rPr>
      </w:pPr>
      <w:r w:rsidRPr="000372C8">
        <w:rPr>
          <w:b/>
          <w:bCs/>
        </w:rPr>
        <w:t>Ressources :</w:t>
      </w:r>
    </w:p>
    <w:p w14:paraId="1D3F29E9" w14:textId="4608E612" w:rsidR="00EE7DAD" w:rsidRDefault="00EE7DAD" w:rsidP="005329E1">
      <w:pPr>
        <w:jc w:val="both"/>
      </w:pPr>
      <w:hyperlink r:id="rId5" w:history="1">
        <w:r w:rsidRPr="00402EA3">
          <w:rPr>
            <w:rStyle w:val="Lienhypertexte"/>
          </w:rPr>
          <w:t>https://www.inrs.fr/publications/juridique/focus-juridiques/focus-juridique-dossier-medical-sante-travail.html</w:t>
        </w:r>
      </w:hyperlink>
      <w:r>
        <w:t xml:space="preserve"> </w:t>
      </w:r>
    </w:p>
    <w:p w14:paraId="47434EAE" w14:textId="4D550BFF" w:rsidR="00EE7DAD" w:rsidRDefault="00EE7DAD" w:rsidP="005329E1">
      <w:pPr>
        <w:jc w:val="both"/>
      </w:pPr>
      <w:hyperlink r:id="rId6" w:history="1">
        <w:r w:rsidRPr="00402EA3">
          <w:rPr>
            <w:rStyle w:val="Lienhypertexte"/>
          </w:rPr>
          <w:t>https://www.legifrance.gouv.fr/codes/section_lc/LEGITEXT000006072050/LEGISCTA000046562772/#LEGISCTA000046562772</w:t>
        </w:r>
      </w:hyperlink>
    </w:p>
    <w:p w14:paraId="2BDA78C4" w14:textId="77777777" w:rsidR="00EE7DAD" w:rsidRDefault="00EE7DAD" w:rsidP="005329E1">
      <w:pPr>
        <w:jc w:val="both"/>
      </w:pPr>
    </w:p>
    <w:sectPr w:rsidR="00EE7D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47F15"/>
    <w:multiLevelType w:val="hybridMultilevel"/>
    <w:tmpl w:val="C562E020"/>
    <w:lvl w:ilvl="0" w:tplc="DF86D93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0E401EC"/>
    <w:multiLevelType w:val="hybridMultilevel"/>
    <w:tmpl w:val="F156F7FC"/>
    <w:lvl w:ilvl="0" w:tplc="C71E5358">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45186937">
    <w:abstractNumId w:val="0"/>
  </w:num>
  <w:num w:numId="2" w16cid:durableId="1683435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7B"/>
    <w:rsid w:val="00002732"/>
    <w:rsid w:val="00014949"/>
    <w:rsid w:val="000372C8"/>
    <w:rsid w:val="000E09E9"/>
    <w:rsid w:val="001B737C"/>
    <w:rsid w:val="001D3060"/>
    <w:rsid w:val="0045451B"/>
    <w:rsid w:val="00476FD4"/>
    <w:rsid w:val="004B167A"/>
    <w:rsid w:val="005329E1"/>
    <w:rsid w:val="0055207F"/>
    <w:rsid w:val="00A20F71"/>
    <w:rsid w:val="00AB53F5"/>
    <w:rsid w:val="00B82941"/>
    <w:rsid w:val="00BC2F7B"/>
    <w:rsid w:val="00DA70F4"/>
    <w:rsid w:val="00E85CDA"/>
    <w:rsid w:val="00EA7EC7"/>
    <w:rsid w:val="00EE7DAD"/>
    <w:rsid w:val="00FC7E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F38FE"/>
  <w15:chartTrackingRefBased/>
  <w15:docId w15:val="{9AA6C81C-29F3-47FD-B815-37BDE1FD3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C2F7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BC2F7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BC2F7B"/>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BC2F7B"/>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BC2F7B"/>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BC2F7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C2F7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C2F7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C2F7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2F7B"/>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BC2F7B"/>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BC2F7B"/>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BC2F7B"/>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BC2F7B"/>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BC2F7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C2F7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C2F7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C2F7B"/>
    <w:rPr>
      <w:rFonts w:eastAsiaTheme="majorEastAsia" w:cstheme="majorBidi"/>
      <w:color w:val="272727" w:themeColor="text1" w:themeTint="D8"/>
    </w:rPr>
  </w:style>
  <w:style w:type="paragraph" w:styleId="Titre">
    <w:name w:val="Title"/>
    <w:basedOn w:val="Normal"/>
    <w:next w:val="Normal"/>
    <w:link w:val="TitreCar"/>
    <w:uiPriority w:val="10"/>
    <w:qFormat/>
    <w:rsid w:val="00BC2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C2F7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C2F7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C2F7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C2F7B"/>
    <w:pPr>
      <w:spacing w:before="160"/>
      <w:jc w:val="center"/>
    </w:pPr>
    <w:rPr>
      <w:i/>
      <w:iCs/>
      <w:color w:val="404040" w:themeColor="text1" w:themeTint="BF"/>
    </w:rPr>
  </w:style>
  <w:style w:type="character" w:customStyle="1" w:styleId="CitationCar">
    <w:name w:val="Citation Car"/>
    <w:basedOn w:val="Policepardfaut"/>
    <w:link w:val="Citation"/>
    <w:uiPriority w:val="29"/>
    <w:rsid w:val="00BC2F7B"/>
    <w:rPr>
      <w:i/>
      <w:iCs/>
      <w:color w:val="404040" w:themeColor="text1" w:themeTint="BF"/>
    </w:rPr>
  </w:style>
  <w:style w:type="paragraph" w:styleId="Paragraphedeliste">
    <w:name w:val="List Paragraph"/>
    <w:basedOn w:val="Normal"/>
    <w:uiPriority w:val="34"/>
    <w:qFormat/>
    <w:rsid w:val="00BC2F7B"/>
    <w:pPr>
      <w:ind w:left="720"/>
      <w:contextualSpacing/>
    </w:pPr>
  </w:style>
  <w:style w:type="character" w:styleId="Accentuationintense">
    <w:name w:val="Intense Emphasis"/>
    <w:basedOn w:val="Policepardfaut"/>
    <w:uiPriority w:val="21"/>
    <w:qFormat/>
    <w:rsid w:val="00BC2F7B"/>
    <w:rPr>
      <w:i/>
      <w:iCs/>
      <w:color w:val="2E74B5" w:themeColor="accent1" w:themeShade="BF"/>
    </w:rPr>
  </w:style>
  <w:style w:type="paragraph" w:styleId="Citationintense">
    <w:name w:val="Intense Quote"/>
    <w:basedOn w:val="Normal"/>
    <w:next w:val="Normal"/>
    <w:link w:val="CitationintenseCar"/>
    <w:uiPriority w:val="30"/>
    <w:qFormat/>
    <w:rsid w:val="00BC2F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BC2F7B"/>
    <w:rPr>
      <w:i/>
      <w:iCs/>
      <w:color w:val="2E74B5" w:themeColor="accent1" w:themeShade="BF"/>
    </w:rPr>
  </w:style>
  <w:style w:type="character" w:styleId="Rfrenceintense">
    <w:name w:val="Intense Reference"/>
    <w:basedOn w:val="Policepardfaut"/>
    <w:uiPriority w:val="32"/>
    <w:qFormat/>
    <w:rsid w:val="00BC2F7B"/>
    <w:rPr>
      <w:b/>
      <w:bCs/>
      <w:smallCaps/>
      <w:color w:val="2E74B5" w:themeColor="accent1" w:themeShade="BF"/>
      <w:spacing w:val="5"/>
    </w:rPr>
  </w:style>
  <w:style w:type="character" w:styleId="Lienhypertexte">
    <w:name w:val="Hyperlink"/>
    <w:basedOn w:val="Policepardfaut"/>
    <w:uiPriority w:val="99"/>
    <w:unhideWhenUsed/>
    <w:rsid w:val="00EE7DAD"/>
    <w:rPr>
      <w:color w:val="0563C1" w:themeColor="hyperlink"/>
      <w:u w:val="single"/>
    </w:rPr>
  </w:style>
  <w:style w:type="character" w:styleId="Mentionnonrsolue">
    <w:name w:val="Unresolved Mention"/>
    <w:basedOn w:val="Policepardfaut"/>
    <w:uiPriority w:val="99"/>
    <w:semiHidden/>
    <w:unhideWhenUsed/>
    <w:rsid w:val="00EE7D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codes/section_lc/LEGITEXT000006072050/LEGISCTA000046562772/#LEGISCTA000046562772" TargetMode="External"/><Relationship Id="rId5" Type="http://schemas.openxmlformats.org/officeDocument/2006/relationships/hyperlink" Target="https://www.inrs.fr/publications/juridique/focus-juridiques/focus-juridique-dossier-medical-sante-travail.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416</TotalTime>
  <Pages>2</Pages>
  <Words>589</Words>
  <Characters>3243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INALCO</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BAHOUS</dc:creator>
  <cp:keywords/>
  <dc:description/>
  <cp:lastModifiedBy>Emma BAHOUS</cp:lastModifiedBy>
  <cp:revision>7</cp:revision>
  <dcterms:created xsi:type="dcterms:W3CDTF">2026-01-13T10:46:00Z</dcterms:created>
  <dcterms:modified xsi:type="dcterms:W3CDTF">2026-02-06T11:14:00Z</dcterms:modified>
</cp:coreProperties>
</file>