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07EA" w14:textId="28AA9435" w:rsidR="00CA1BAF" w:rsidRPr="00503095" w:rsidRDefault="00503095" w:rsidP="00503095">
      <w:pPr>
        <w:jc w:val="center"/>
        <w:rPr>
          <w:b/>
          <w:bCs/>
        </w:rPr>
      </w:pPr>
      <w:r w:rsidRPr="00503095">
        <w:rPr>
          <w:b/>
          <w:bCs/>
        </w:rPr>
        <w:t>V</w:t>
      </w:r>
      <w:r w:rsidR="00C17FD9" w:rsidRPr="00503095">
        <w:rPr>
          <w:b/>
          <w:bCs/>
        </w:rPr>
        <w:t>acation au sein du pôle Naturalisation</w:t>
      </w:r>
    </w:p>
    <w:p w14:paraId="22AEFCD6" w14:textId="2E178195" w:rsidR="00982BD5" w:rsidRDefault="00982BD5" w:rsidP="00C17FD9">
      <w:pPr>
        <w:jc w:val="both"/>
        <w:rPr>
          <w:rFonts w:ascii="Marianne" w:hAnsi="Marianne"/>
          <w:b/>
          <w:bCs/>
          <w:kern w:val="0"/>
          <w:sz w:val="20"/>
          <w:szCs w:val="20"/>
          <w:u w:val="single"/>
        </w:rPr>
      </w:pPr>
      <w:r>
        <w:rPr>
          <w:rFonts w:ascii="Marianne" w:hAnsi="Marianne"/>
          <w:b/>
          <w:bCs/>
          <w:kern w:val="0"/>
          <w:sz w:val="20"/>
          <w:szCs w:val="20"/>
          <w:u w:val="single"/>
        </w:rPr>
        <w:t>Intitulé du poste </w:t>
      </w:r>
    </w:p>
    <w:p w14:paraId="12B8D2ED" w14:textId="2F52B0AB" w:rsidR="001D1C3F" w:rsidRPr="00503095" w:rsidRDefault="00E506F7" w:rsidP="001D1C3F">
      <w:pPr>
        <w:jc w:val="both"/>
        <w:rPr>
          <w:b/>
          <w:bCs/>
        </w:rPr>
      </w:pPr>
      <w:r>
        <w:rPr>
          <w:b/>
          <w:bCs/>
        </w:rPr>
        <w:t>Mission temporaire</w:t>
      </w:r>
      <w:r w:rsidR="001D1C3F" w:rsidRPr="00E506F7">
        <w:rPr>
          <w:b/>
          <w:bCs/>
        </w:rPr>
        <w:t xml:space="preserve"> au sein du pôle Naturalisation (</w:t>
      </w:r>
      <w:r w:rsidRPr="00E506F7">
        <w:rPr>
          <w:b/>
          <w:bCs/>
        </w:rPr>
        <w:t>d</w:t>
      </w:r>
      <w:r w:rsidR="001D1C3F" w:rsidRPr="00E506F7">
        <w:rPr>
          <w:b/>
          <w:bCs/>
        </w:rPr>
        <w:t>épartement de la Justice et de l’Intérieur – Archives nationales</w:t>
      </w:r>
      <w:r w:rsidRPr="00E506F7">
        <w:rPr>
          <w:b/>
          <w:bCs/>
        </w:rPr>
        <w:t xml:space="preserve"> / direction des </w:t>
      </w:r>
      <w:r w:rsidRPr="006A3C84">
        <w:rPr>
          <w:b/>
          <w:bCs/>
        </w:rPr>
        <w:t>fonds</w:t>
      </w:r>
      <w:r w:rsidR="001D1C3F" w:rsidRPr="006A3C84">
        <w:rPr>
          <w:b/>
          <w:bCs/>
        </w:rPr>
        <w:t>)</w:t>
      </w:r>
      <w:r w:rsidRPr="006A3C84">
        <w:rPr>
          <w:b/>
          <w:bCs/>
        </w:rPr>
        <w:t xml:space="preserve"> </w:t>
      </w:r>
      <w:r w:rsidR="00C741ED" w:rsidRPr="006A3C84">
        <w:rPr>
          <w:b/>
          <w:bCs/>
        </w:rPr>
        <w:t xml:space="preserve">- d’une durée </w:t>
      </w:r>
      <w:r w:rsidRPr="006A3C84">
        <w:rPr>
          <w:b/>
          <w:bCs/>
        </w:rPr>
        <w:t xml:space="preserve">de </w:t>
      </w:r>
      <w:r w:rsidR="00667AE4">
        <w:rPr>
          <w:b/>
          <w:bCs/>
        </w:rPr>
        <w:t>2</w:t>
      </w:r>
      <w:r w:rsidRPr="006A3C84">
        <w:rPr>
          <w:b/>
          <w:bCs/>
        </w:rPr>
        <w:t xml:space="preserve"> mois </w:t>
      </w:r>
      <w:r w:rsidR="000D4F89">
        <w:rPr>
          <w:b/>
          <w:bCs/>
        </w:rPr>
        <w:t>(juin-juillet</w:t>
      </w:r>
      <w:r w:rsidR="0002578A">
        <w:rPr>
          <w:b/>
          <w:bCs/>
        </w:rPr>
        <w:t xml:space="preserve"> 2025</w:t>
      </w:r>
      <w:r w:rsidR="000D4F89">
        <w:rPr>
          <w:b/>
          <w:bCs/>
        </w:rPr>
        <w:t>)</w:t>
      </w:r>
    </w:p>
    <w:p w14:paraId="461FB6BC" w14:textId="77777777" w:rsidR="00982BD5" w:rsidRDefault="00982BD5" w:rsidP="00982BD5">
      <w:pPr>
        <w:tabs>
          <w:tab w:val="right" w:pos="10348"/>
        </w:tabs>
        <w:jc w:val="both"/>
        <w:rPr>
          <w:rFonts w:ascii="Marianne" w:hAnsi="Marianne"/>
          <w:b/>
          <w:bCs/>
          <w:sz w:val="20"/>
          <w:szCs w:val="20"/>
        </w:rPr>
      </w:pPr>
      <w:r>
        <w:rPr>
          <w:rFonts w:ascii="Marianne" w:hAnsi="Marianne"/>
          <w:b/>
          <w:bCs/>
          <w:sz w:val="20"/>
          <w:szCs w:val="20"/>
          <w:u w:val="single"/>
        </w:rPr>
        <w:t>Adresse administrative de l’affectation</w:t>
      </w:r>
      <w:r>
        <w:rPr>
          <w:rFonts w:ascii="Marianne" w:hAnsi="Marianne"/>
          <w:b/>
          <w:bCs/>
          <w:sz w:val="20"/>
          <w:szCs w:val="20"/>
        </w:rPr>
        <w:t> :</w:t>
      </w:r>
    </w:p>
    <w:p w14:paraId="54F2A3ED" w14:textId="77777777" w:rsidR="00982BD5" w:rsidRDefault="00982BD5" w:rsidP="00982BD5">
      <w:pPr>
        <w:pStyle w:val="Paragraphedeliste"/>
        <w:tabs>
          <w:tab w:val="right" w:pos="10348"/>
        </w:tabs>
        <w:jc w:val="both"/>
        <w:rPr>
          <w:rFonts w:ascii="Marianne" w:hAnsi="Marianne"/>
          <w:bCs/>
          <w:sz w:val="20"/>
          <w:szCs w:val="20"/>
        </w:rPr>
      </w:pPr>
      <w:r>
        <w:rPr>
          <w:rFonts w:ascii="Marianne" w:hAnsi="Marianne"/>
          <w:bCs/>
          <w:sz w:val="20"/>
          <w:szCs w:val="20"/>
        </w:rPr>
        <w:t>Archives nationales</w:t>
      </w:r>
    </w:p>
    <w:p w14:paraId="7B8795E8" w14:textId="77777777" w:rsidR="00982BD5" w:rsidRDefault="00982BD5" w:rsidP="00982BD5">
      <w:pPr>
        <w:pStyle w:val="Paragraphedeliste"/>
        <w:tabs>
          <w:tab w:val="right" w:pos="10348"/>
        </w:tabs>
        <w:jc w:val="both"/>
        <w:rPr>
          <w:rFonts w:ascii="Marianne" w:hAnsi="Marianne"/>
          <w:bCs/>
          <w:sz w:val="20"/>
          <w:szCs w:val="20"/>
        </w:rPr>
      </w:pPr>
      <w:r>
        <w:rPr>
          <w:rFonts w:ascii="Marianne" w:hAnsi="Marianne"/>
          <w:bCs/>
          <w:sz w:val="20"/>
          <w:szCs w:val="20"/>
        </w:rPr>
        <w:t xml:space="preserve">59 rue Guynemer - 93380 Pierrefitte-sur-Seine </w:t>
      </w:r>
    </w:p>
    <w:p w14:paraId="1B8EEB2E" w14:textId="77777777" w:rsidR="00982BD5" w:rsidRDefault="00982BD5" w:rsidP="00982BD5">
      <w:pPr>
        <w:pStyle w:val="Paragraphedeliste"/>
        <w:tabs>
          <w:tab w:val="right" w:pos="10348"/>
        </w:tabs>
        <w:jc w:val="both"/>
        <w:rPr>
          <w:rFonts w:ascii="Marianne" w:hAnsi="Marianne"/>
          <w:bCs/>
          <w:sz w:val="20"/>
          <w:szCs w:val="20"/>
        </w:rPr>
      </w:pPr>
      <w:r>
        <w:rPr>
          <w:rFonts w:ascii="Marianne" w:hAnsi="Marianne"/>
          <w:bCs/>
          <w:sz w:val="20"/>
          <w:szCs w:val="20"/>
        </w:rPr>
        <w:t>Métro : Saint-Denis Université (Ligne 13)</w:t>
      </w:r>
    </w:p>
    <w:p w14:paraId="3E0DBD35" w14:textId="2E266141" w:rsidR="00C17FD9" w:rsidRDefault="003E2D2A" w:rsidP="00C17FD9">
      <w:pPr>
        <w:jc w:val="both"/>
      </w:pPr>
      <w:r>
        <w:rPr>
          <w:rFonts w:ascii="Marianne" w:hAnsi="Marianne"/>
          <w:b/>
          <w:bCs/>
          <w:kern w:val="0"/>
          <w:sz w:val="20"/>
          <w:szCs w:val="20"/>
          <w:u w:val="single"/>
        </w:rPr>
        <w:t>Descriptif de l’employeur </w:t>
      </w:r>
      <w:r w:rsidR="00C17FD9">
        <w:t>:</w:t>
      </w:r>
    </w:p>
    <w:p w14:paraId="2C0AEB09" w14:textId="77777777" w:rsidR="003E2D2A" w:rsidRDefault="003E2D2A" w:rsidP="003E2D2A">
      <w:pPr>
        <w:jc w:val="both"/>
      </w:pPr>
      <w:r>
        <w:t>L’action du service à compétence nationale (SCN) des Archives nationales s’inscrit dans le cadre de la politique générale définie par le Service interministériel des archives de France auquel il est rattaché (art. R.212-8 du Code du patrimoine). Ce service constitue avec le SCN des Archives nationales d’outre-mer, le SCN des Archives nationales du monde du travail et les services départementaux d’archives, le réseau des services publics d’archives en France.</w:t>
      </w:r>
    </w:p>
    <w:p w14:paraId="39E78AEB" w14:textId="77777777" w:rsidR="003E2D2A" w:rsidRDefault="003E2D2A" w:rsidP="003E2D2A">
      <w:pPr>
        <w:jc w:val="both"/>
      </w:pPr>
      <w:r>
        <w:t>Les Archives nationales conservent et communiquent aux publics les archives de l’État depuis le Moyen Âge, celles des notaires parisiens et des archives privées d’intérêt national. Elles contribuent à la connaissance de l’histoire et au partage des valeurs citoyennes auprès du grand public, en particulier des plus jeunes, par leurs expositions, publications et autres activités de médiation.</w:t>
      </w:r>
    </w:p>
    <w:p w14:paraId="02C91A43" w14:textId="77777777" w:rsidR="003E2D2A" w:rsidRDefault="003E2D2A" w:rsidP="003E2D2A">
      <w:pPr>
        <w:jc w:val="both"/>
      </w:pPr>
      <w:r>
        <w:t xml:space="preserve">Les grandes orientations stratégiques de l’institution sont développées dans le cadre de la Stratégie 2021-2025 des Archives nationales. Pour les mener à bien les Archives nationales sont dotées d’un effectif de près de 500 agents, en équivalent temps plein. </w:t>
      </w:r>
    </w:p>
    <w:p w14:paraId="3E2D3D26" w14:textId="202B4266" w:rsidR="003E2D2A" w:rsidRDefault="003E2D2A" w:rsidP="003E2D2A">
      <w:pPr>
        <w:jc w:val="both"/>
      </w:pPr>
      <w:r>
        <w:t xml:space="preserve">De plus amples informations peuvent être obtenues sur le site internet des Archives nationales : </w:t>
      </w:r>
      <w:hyperlink r:id="rId8" w:history="1">
        <w:r w:rsidRPr="008E68E3">
          <w:rPr>
            <w:rStyle w:val="Lienhypertexte"/>
          </w:rPr>
          <w:t>http://www.archives-nationales.culture.gouv.fr</w:t>
        </w:r>
      </w:hyperlink>
    </w:p>
    <w:p w14:paraId="0F61032C" w14:textId="7857DE42" w:rsidR="003E2D2A" w:rsidRDefault="003E2D2A" w:rsidP="003E2D2A">
      <w:pPr>
        <w:jc w:val="both"/>
      </w:pPr>
      <w:r>
        <w:rPr>
          <w:rFonts w:ascii="Marianne" w:hAnsi="Marianne"/>
          <w:b/>
          <w:bCs/>
          <w:kern w:val="0"/>
          <w:sz w:val="20"/>
          <w:szCs w:val="20"/>
          <w:u w:val="single"/>
        </w:rPr>
        <w:t>Descriptif du service</w:t>
      </w:r>
    </w:p>
    <w:p w14:paraId="3C15947F" w14:textId="77777777" w:rsidR="003E2D2A" w:rsidRDefault="003E2D2A" w:rsidP="003E2D2A">
      <w:pPr>
        <w:tabs>
          <w:tab w:val="right" w:pos="10348"/>
        </w:tabs>
        <w:jc w:val="both"/>
        <w:rPr>
          <w:rFonts w:ascii="Marianne" w:hAnsi="Marianne"/>
          <w:bCs/>
          <w:sz w:val="20"/>
          <w:szCs w:val="20"/>
        </w:rPr>
      </w:pPr>
      <w:r>
        <w:rPr>
          <w:rFonts w:ascii="Marianne" w:hAnsi="Marianne"/>
          <w:bCs/>
          <w:sz w:val="20"/>
          <w:szCs w:val="20"/>
        </w:rPr>
        <w:t>Le département de la Justice et de l'Intérieur (DJI) est chargé de la collecte, de la conservation, de la communication et de la valorisation des archives produites par les ministères en charge de la Coopération, de l'Intérieur, de la Justice et de l'Outre-mer ainsi que les archives de juridictions ou d'organismes publics liés à ces domaines d'activités. Il est composé de 36 agents administratifs, techniques et scientifiques et s’organise en cinq pôles : Intérieur, Justice, Naturalisation, Outre-mer et Coopération et le pôle Communication des archives, aide à la collecte, à la conservation et au traitement.</w:t>
      </w:r>
    </w:p>
    <w:p w14:paraId="2F4EAFB7" w14:textId="78B7BD38" w:rsidR="003E2D2A" w:rsidRDefault="003E2D2A" w:rsidP="003E2D2A">
      <w:pPr>
        <w:pStyle w:val="TableContents"/>
        <w:snapToGrid w:val="0"/>
        <w:jc w:val="both"/>
        <w:rPr>
          <w:rFonts w:ascii="Marianne" w:hAnsi="Marianne"/>
          <w:bCs/>
          <w:sz w:val="20"/>
          <w:szCs w:val="20"/>
        </w:rPr>
      </w:pPr>
      <w:r>
        <w:rPr>
          <w:rFonts w:ascii="Marianne" w:hAnsi="Marianne"/>
          <w:bCs/>
          <w:sz w:val="20"/>
          <w:szCs w:val="20"/>
        </w:rPr>
        <w:t xml:space="preserve">Le pôle Naturalisation conserve les sources documentaires produites par les différents ministères en charge de la nationalité depuis la Révolution française, représentant plus de 24 kml d’archives et à terme des archives électroniques. Les missions du pôle couvrent toute la chaîne archivistique. L’accès aux sources de la nationalité constitue un enjeu stratégique pour les Archives nationales que ce soit à l’égard de leur public, et notamment le public en quête de preuve de droit peu coutumier de la recherche documentaire et du droit des archives, qu’envers les administrations versantes qui continuent de demander en communication administrative leurs dossiers. </w:t>
      </w:r>
    </w:p>
    <w:p w14:paraId="3BE300F5" w14:textId="0EA89B56" w:rsidR="003E2D2A" w:rsidRDefault="003E2D2A" w:rsidP="003E2D2A">
      <w:pPr>
        <w:pStyle w:val="TableContents"/>
        <w:snapToGrid w:val="0"/>
        <w:jc w:val="both"/>
        <w:rPr>
          <w:rFonts w:ascii="Marianne" w:hAnsi="Marianne"/>
          <w:bCs/>
          <w:sz w:val="20"/>
          <w:szCs w:val="20"/>
        </w:rPr>
      </w:pPr>
    </w:p>
    <w:p w14:paraId="755BEE08" w14:textId="3171E89F" w:rsidR="003E2D2A" w:rsidRDefault="003E2D2A" w:rsidP="003E2D2A">
      <w:pPr>
        <w:pStyle w:val="TableContents"/>
        <w:snapToGrid w:val="0"/>
        <w:jc w:val="both"/>
        <w:rPr>
          <w:rFonts w:ascii="Marianne" w:hAnsi="Marianne"/>
          <w:b/>
          <w:bCs/>
          <w:kern w:val="0"/>
          <w:sz w:val="20"/>
          <w:szCs w:val="20"/>
          <w:u w:val="single"/>
        </w:rPr>
      </w:pPr>
      <w:r>
        <w:rPr>
          <w:rFonts w:ascii="Marianne" w:hAnsi="Marianne"/>
          <w:b/>
          <w:bCs/>
          <w:kern w:val="0"/>
          <w:sz w:val="20"/>
          <w:szCs w:val="20"/>
          <w:u w:val="single"/>
        </w:rPr>
        <w:t>Description du poste</w:t>
      </w:r>
    </w:p>
    <w:p w14:paraId="48510359" w14:textId="2D288AD9" w:rsidR="00982BD5" w:rsidRDefault="00982BD5" w:rsidP="00982BD5">
      <w:pPr>
        <w:pStyle w:val="TableContents"/>
        <w:snapToGrid w:val="0"/>
        <w:jc w:val="both"/>
        <w:rPr>
          <w:rFonts w:ascii="Marianne" w:hAnsi="Marianne"/>
          <w:bCs/>
          <w:sz w:val="20"/>
          <w:szCs w:val="20"/>
        </w:rPr>
      </w:pPr>
      <w:r>
        <w:rPr>
          <w:rFonts w:ascii="Marianne" w:hAnsi="Marianne"/>
          <w:bCs/>
          <w:sz w:val="20"/>
          <w:szCs w:val="20"/>
        </w:rPr>
        <w:lastRenderedPageBreak/>
        <w:t>Pour les missions qui lui sont confiés, le/la vacataire assurera :</w:t>
      </w:r>
    </w:p>
    <w:p w14:paraId="79F5E9D5" w14:textId="77777777" w:rsidR="00982BD5" w:rsidRDefault="00982BD5" w:rsidP="003E2D2A">
      <w:pPr>
        <w:pStyle w:val="TableContents"/>
        <w:snapToGrid w:val="0"/>
        <w:jc w:val="both"/>
        <w:rPr>
          <w:rFonts w:ascii="Marianne" w:hAnsi="Marianne"/>
          <w:b/>
          <w:bCs/>
          <w:kern w:val="0"/>
          <w:sz w:val="20"/>
          <w:szCs w:val="20"/>
          <w:u w:val="single"/>
        </w:rPr>
      </w:pPr>
    </w:p>
    <w:p w14:paraId="60B4EA12" w14:textId="49CE6E5A" w:rsidR="00982BD5" w:rsidRPr="00E506F7" w:rsidRDefault="00956E8D" w:rsidP="00125AC0">
      <w:pPr>
        <w:pStyle w:val="Paragraphedeliste"/>
        <w:numPr>
          <w:ilvl w:val="0"/>
          <w:numId w:val="3"/>
        </w:numPr>
        <w:jc w:val="both"/>
      </w:pPr>
      <w:r>
        <w:rPr>
          <w:b/>
          <w:bCs/>
        </w:rPr>
        <w:t xml:space="preserve">Le </w:t>
      </w:r>
      <w:r w:rsidR="00982BD5" w:rsidRPr="00982BD5">
        <w:rPr>
          <w:b/>
          <w:bCs/>
        </w:rPr>
        <w:t>traitement des demandes d’accès par dérogation :</w:t>
      </w:r>
      <w:r w:rsidR="00982BD5">
        <w:t xml:space="preserve"> instruction des demandes sur examen des dossiers</w:t>
      </w:r>
      <w:r w:rsidRPr="00956E8D">
        <w:t xml:space="preserve">, </w:t>
      </w:r>
      <w:r w:rsidR="00982BD5">
        <w:t>rédaction des saisines et des réponses</w:t>
      </w:r>
      <w:r w:rsidR="00E506F7">
        <w:t xml:space="preserve"> en lien avec le service producteur (sous-direction de l’accès à la nationalité française au ministère de l’Intérieur) et avec le service interministériel des Archives de France</w:t>
      </w:r>
      <w:r w:rsidR="00982BD5">
        <w:t xml:space="preserve">, organisation des mises à disposition en salle de lecture.  </w:t>
      </w:r>
    </w:p>
    <w:p w14:paraId="51FA52AE" w14:textId="210CE133" w:rsidR="00982BD5" w:rsidRDefault="00956E8D" w:rsidP="00125AC0">
      <w:pPr>
        <w:pStyle w:val="Paragraphedeliste"/>
        <w:numPr>
          <w:ilvl w:val="0"/>
          <w:numId w:val="3"/>
        </w:numPr>
        <w:jc w:val="both"/>
      </w:pPr>
      <w:r>
        <w:rPr>
          <w:b/>
          <w:bCs/>
        </w:rPr>
        <w:t xml:space="preserve">Le </w:t>
      </w:r>
      <w:r w:rsidR="00982BD5" w:rsidRPr="00982BD5">
        <w:rPr>
          <w:b/>
          <w:bCs/>
        </w:rPr>
        <w:t>traitement scientifique des demandes de consultation par extrait :</w:t>
      </w:r>
      <w:r w:rsidR="00982BD5">
        <w:t xml:space="preserve"> contrôle scientifique de la communicabilité des pièces des dossiers en vue de leur mise à disposition en salle de lecture, opérations de suivi dans le système d’information archivistique des Archives nationales.</w:t>
      </w:r>
    </w:p>
    <w:p w14:paraId="01806DB2" w14:textId="5B030196" w:rsidR="00982BD5" w:rsidRDefault="00956E8D" w:rsidP="007370D4">
      <w:pPr>
        <w:pStyle w:val="Paragraphedeliste"/>
        <w:numPr>
          <w:ilvl w:val="0"/>
          <w:numId w:val="4"/>
        </w:numPr>
        <w:jc w:val="both"/>
      </w:pPr>
      <w:r>
        <w:rPr>
          <w:b/>
          <w:bCs/>
        </w:rPr>
        <w:t xml:space="preserve">Le </w:t>
      </w:r>
      <w:r w:rsidR="00982BD5" w:rsidRPr="00982BD5">
        <w:rPr>
          <w:b/>
          <w:bCs/>
        </w:rPr>
        <w:t>traitement de demandes de recherche :</w:t>
      </w:r>
      <w:r w:rsidR="00982BD5">
        <w:t xml:space="preserve"> mission en lien avec le Département de l’accueil des publics</w:t>
      </w:r>
      <w:r>
        <w:t xml:space="preserve"> des Archives nationales</w:t>
      </w:r>
      <w:r w:rsidR="00982BD5">
        <w:t xml:space="preserve"> et avec la Sous-direction de l’accès à la nationalité française.</w:t>
      </w:r>
    </w:p>
    <w:p w14:paraId="781BD3E9" w14:textId="501FFC4B" w:rsidR="00982BD5" w:rsidRPr="00956E8D" w:rsidRDefault="00956E8D" w:rsidP="00982BD5">
      <w:pPr>
        <w:pStyle w:val="Paragraphedeliste"/>
        <w:numPr>
          <w:ilvl w:val="0"/>
          <w:numId w:val="4"/>
        </w:numPr>
        <w:jc w:val="both"/>
      </w:pPr>
      <w:r w:rsidRPr="00956E8D">
        <w:rPr>
          <w:b/>
          <w:bCs/>
        </w:rPr>
        <w:t>La p</w:t>
      </w:r>
      <w:r w:rsidR="00982BD5" w:rsidRPr="00956E8D">
        <w:rPr>
          <w:b/>
          <w:bCs/>
        </w:rPr>
        <w:t>articipation à des travaux scientifiques :</w:t>
      </w:r>
      <w:r w:rsidR="00982BD5" w:rsidRPr="00956E8D">
        <w:t xml:space="preserve"> participation à des chantiers de traitement conduits au sein du pôle Naturalisation (travaux </w:t>
      </w:r>
      <w:r w:rsidR="0002578A">
        <w:t xml:space="preserve">de vérification de communicabilité, </w:t>
      </w:r>
      <w:r w:rsidR="00982BD5" w:rsidRPr="00956E8D">
        <w:t>d’indexation, de recherches, de reconditionnement d’articles…)</w:t>
      </w:r>
      <w:r>
        <w:t>.</w:t>
      </w:r>
    </w:p>
    <w:p w14:paraId="3F4588BB" w14:textId="5D6FA979" w:rsidR="003E2D2A" w:rsidRDefault="003E2D2A" w:rsidP="003E2D2A">
      <w:pPr>
        <w:pStyle w:val="TableContents"/>
        <w:snapToGrid w:val="0"/>
        <w:jc w:val="both"/>
        <w:rPr>
          <w:rFonts w:ascii="Marianne" w:hAnsi="Marianne"/>
          <w:bCs/>
          <w:sz w:val="20"/>
          <w:szCs w:val="20"/>
        </w:rPr>
      </w:pPr>
    </w:p>
    <w:p w14:paraId="55192292" w14:textId="77777777" w:rsidR="00982BD5" w:rsidRDefault="00982BD5" w:rsidP="00982BD5">
      <w:pPr>
        <w:pStyle w:val="TableContents"/>
        <w:snapToGrid w:val="0"/>
        <w:jc w:val="both"/>
        <w:rPr>
          <w:rFonts w:ascii="Marianne" w:hAnsi="Marianne"/>
          <w:bCs/>
          <w:sz w:val="20"/>
          <w:szCs w:val="20"/>
        </w:rPr>
      </w:pPr>
      <w:r>
        <w:rPr>
          <w:rFonts w:ascii="Marianne" w:hAnsi="Marianne"/>
          <w:b/>
          <w:bCs/>
          <w:sz w:val="20"/>
          <w:szCs w:val="20"/>
          <w:u w:val="single"/>
        </w:rPr>
        <w:t>Quotité horaire</w:t>
      </w:r>
      <w:r>
        <w:rPr>
          <w:rFonts w:ascii="Marianne" w:hAnsi="Marianne"/>
          <w:bCs/>
          <w:sz w:val="20"/>
          <w:szCs w:val="20"/>
          <w:u w:val="single"/>
        </w:rPr>
        <w:t xml:space="preserve"> (temps plein/temps incomplet)</w:t>
      </w:r>
      <w:r>
        <w:rPr>
          <w:rFonts w:ascii="Marianne" w:hAnsi="Marianne"/>
          <w:bCs/>
          <w:sz w:val="20"/>
          <w:szCs w:val="20"/>
        </w:rPr>
        <w:t xml:space="preserve"> : </w:t>
      </w:r>
    </w:p>
    <w:p w14:paraId="40500B5D" w14:textId="77777777" w:rsidR="00982BD5" w:rsidRDefault="00982BD5" w:rsidP="00982BD5">
      <w:pPr>
        <w:pStyle w:val="TableContents"/>
        <w:snapToGrid w:val="0"/>
        <w:jc w:val="both"/>
        <w:rPr>
          <w:rFonts w:ascii="Marianne" w:hAnsi="Marianne"/>
          <w:bCs/>
          <w:sz w:val="20"/>
          <w:szCs w:val="20"/>
        </w:rPr>
      </w:pPr>
    </w:p>
    <w:p w14:paraId="59D0BDD5"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Temps plein</w:t>
      </w:r>
    </w:p>
    <w:p w14:paraId="380F866C" w14:textId="77777777" w:rsidR="00982BD5" w:rsidRDefault="00982BD5" w:rsidP="00982BD5">
      <w:pPr>
        <w:pStyle w:val="TableContents"/>
        <w:snapToGrid w:val="0"/>
        <w:jc w:val="both"/>
        <w:rPr>
          <w:rFonts w:ascii="Marianne" w:hAnsi="Marianne"/>
          <w:bCs/>
          <w:sz w:val="20"/>
          <w:szCs w:val="20"/>
        </w:rPr>
      </w:pPr>
    </w:p>
    <w:p w14:paraId="46A4A23E" w14:textId="77777777" w:rsidR="00982BD5" w:rsidRDefault="00982BD5" w:rsidP="00982BD5">
      <w:pPr>
        <w:pStyle w:val="TableContents"/>
        <w:snapToGrid w:val="0"/>
        <w:jc w:val="both"/>
        <w:rPr>
          <w:rFonts w:ascii="Marianne" w:hAnsi="Marianne"/>
          <w:b/>
          <w:bCs/>
          <w:sz w:val="20"/>
          <w:szCs w:val="20"/>
        </w:rPr>
      </w:pPr>
      <w:r>
        <w:rPr>
          <w:rFonts w:ascii="Marianne" w:hAnsi="Marianne"/>
          <w:b/>
          <w:bCs/>
          <w:sz w:val="20"/>
          <w:szCs w:val="20"/>
          <w:u w:val="single"/>
        </w:rPr>
        <w:t>Télétravail</w:t>
      </w:r>
      <w:r>
        <w:rPr>
          <w:rFonts w:ascii="Marianne" w:hAnsi="Marianne"/>
          <w:bCs/>
          <w:sz w:val="20"/>
          <w:szCs w:val="20"/>
        </w:rPr>
        <w:t> (oui/non) :</w:t>
      </w:r>
    </w:p>
    <w:p w14:paraId="34F10987" w14:textId="77777777" w:rsidR="00982BD5" w:rsidRDefault="00982BD5" w:rsidP="00982BD5">
      <w:pPr>
        <w:pStyle w:val="TableContents"/>
        <w:snapToGrid w:val="0"/>
        <w:jc w:val="both"/>
        <w:rPr>
          <w:rFonts w:ascii="Marianne" w:hAnsi="Marianne"/>
          <w:b/>
          <w:bCs/>
          <w:sz w:val="20"/>
          <w:szCs w:val="20"/>
        </w:rPr>
      </w:pPr>
    </w:p>
    <w:p w14:paraId="1E075431" w14:textId="0C1409B7" w:rsidR="00982BD5" w:rsidRDefault="006A3C84" w:rsidP="00982BD5">
      <w:pPr>
        <w:pStyle w:val="TableContents"/>
        <w:snapToGrid w:val="0"/>
        <w:jc w:val="both"/>
        <w:rPr>
          <w:rFonts w:ascii="Marianne" w:hAnsi="Marianne"/>
          <w:bCs/>
          <w:sz w:val="20"/>
          <w:szCs w:val="20"/>
        </w:rPr>
      </w:pPr>
      <w:r>
        <w:rPr>
          <w:rFonts w:ascii="Marianne" w:hAnsi="Marianne"/>
          <w:bCs/>
          <w:sz w:val="20"/>
          <w:szCs w:val="20"/>
        </w:rPr>
        <w:t>Non</w:t>
      </w:r>
    </w:p>
    <w:p w14:paraId="1A358E9B" w14:textId="77777777" w:rsidR="00982BD5" w:rsidRDefault="00982BD5" w:rsidP="00982BD5">
      <w:pPr>
        <w:pStyle w:val="TableContents"/>
        <w:snapToGrid w:val="0"/>
        <w:jc w:val="both"/>
        <w:rPr>
          <w:rFonts w:ascii="Marianne" w:hAnsi="Marianne"/>
          <w:b/>
          <w:bCs/>
          <w:sz w:val="20"/>
          <w:szCs w:val="20"/>
        </w:rPr>
      </w:pPr>
    </w:p>
    <w:p w14:paraId="13AC89A2" w14:textId="268C3512" w:rsidR="00982BD5" w:rsidRDefault="00982BD5" w:rsidP="00982BD5">
      <w:pPr>
        <w:pStyle w:val="TableContents"/>
        <w:snapToGrid w:val="0"/>
        <w:jc w:val="both"/>
        <w:rPr>
          <w:rFonts w:ascii="Marianne" w:hAnsi="Marianne"/>
          <w:b/>
          <w:bCs/>
          <w:sz w:val="20"/>
          <w:szCs w:val="20"/>
        </w:rPr>
      </w:pPr>
      <w:r>
        <w:rPr>
          <w:rFonts w:ascii="Marianne" w:hAnsi="Marianne"/>
          <w:b/>
          <w:bCs/>
          <w:sz w:val="20"/>
          <w:szCs w:val="20"/>
          <w:u w:val="single"/>
        </w:rPr>
        <w:t xml:space="preserve">Description du profil </w:t>
      </w:r>
      <w:r w:rsidR="006A3C84">
        <w:rPr>
          <w:rFonts w:ascii="Marianne" w:hAnsi="Marianne"/>
          <w:b/>
          <w:bCs/>
          <w:sz w:val="20"/>
          <w:szCs w:val="20"/>
          <w:u w:val="single"/>
        </w:rPr>
        <w:t>recherché</w:t>
      </w:r>
      <w:r w:rsidR="006A3C84">
        <w:rPr>
          <w:rFonts w:ascii="Marianne" w:hAnsi="Marianne"/>
          <w:b/>
          <w:bCs/>
          <w:sz w:val="20"/>
          <w:szCs w:val="20"/>
        </w:rPr>
        <w:t xml:space="preserve"> :</w:t>
      </w:r>
    </w:p>
    <w:p w14:paraId="5D28BD9A" w14:textId="77777777" w:rsidR="00982BD5" w:rsidRDefault="00982BD5" w:rsidP="00982BD5">
      <w:pPr>
        <w:pStyle w:val="TableContents"/>
        <w:snapToGrid w:val="0"/>
        <w:jc w:val="both"/>
        <w:rPr>
          <w:rFonts w:ascii="Marianne" w:hAnsi="Marianne"/>
          <w:b/>
          <w:bCs/>
          <w:sz w:val="20"/>
          <w:szCs w:val="20"/>
        </w:rPr>
      </w:pPr>
    </w:p>
    <w:p w14:paraId="7EFEAE29" w14:textId="0D8A2C2D" w:rsidR="00982BD5" w:rsidRDefault="00956E8D" w:rsidP="00982BD5">
      <w:pPr>
        <w:pStyle w:val="TableContents"/>
        <w:numPr>
          <w:ilvl w:val="0"/>
          <w:numId w:val="2"/>
        </w:numPr>
        <w:snapToGrid w:val="0"/>
        <w:jc w:val="both"/>
        <w:rPr>
          <w:rFonts w:ascii="Marianne" w:hAnsi="Marianne"/>
          <w:bCs/>
          <w:sz w:val="20"/>
          <w:szCs w:val="20"/>
        </w:rPr>
      </w:pPr>
      <w:r>
        <w:rPr>
          <w:rFonts w:ascii="Marianne" w:hAnsi="Marianne"/>
          <w:bCs/>
          <w:sz w:val="20"/>
          <w:szCs w:val="20"/>
        </w:rPr>
        <w:t>D</w:t>
      </w:r>
      <w:r w:rsidR="00982BD5">
        <w:rPr>
          <w:rFonts w:ascii="Marianne" w:hAnsi="Marianne"/>
          <w:bCs/>
          <w:sz w:val="20"/>
          <w:szCs w:val="20"/>
        </w:rPr>
        <w:t>iplôme </w:t>
      </w:r>
      <w:r w:rsidR="0051445B">
        <w:rPr>
          <w:rFonts w:ascii="Marianne" w:hAnsi="Marianne"/>
          <w:bCs/>
          <w:sz w:val="20"/>
          <w:szCs w:val="20"/>
        </w:rPr>
        <w:t>d’</w:t>
      </w:r>
      <w:r w:rsidR="00E72050" w:rsidRPr="0051445B">
        <w:rPr>
          <w:rFonts w:ascii="Marianne" w:hAnsi="Marianne"/>
          <w:bCs/>
          <w:sz w:val="20"/>
          <w:szCs w:val="20"/>
        </w:rPr>
        <w:t>archiv</w:t>
      </w:r>
      <w:r w:rsidR="0051445B" w:rsidRPr="0051445B">
        <w:rPr>
          <w:rFonts w:ascii="Marianne" w:hAnsi="Marianne"/>
          <w:bCs/>
          <w:sz w:val="20"/>
          <w:szCs w:val="20"/>
        </w:rPr>
        <w:t>istique ou d’</w:t>
      </w:r>
      <w:r w:rsidR="00E72050" w:rsidRPr="0051445B">
        <w:rPr>
          <w:rFonts w:ascii="Marianne" w:hAnsi="Marianne"/>
          <w:bCs/>
          <w:sz w:val="20"/>
          <w:szCs w:val="20"/>
        </w:rPr>
        <w:t>histoire contemporaine</w:t>
      </w:r>
    </w:p>
    <w:p w14:paraId="0E773160" w14:textId="42C9539F" w:rsidR="00956E8D" w:rsidRDefault="00956E8D" w:rsidP="00982BD5">
      <w:pPr>
        <w:pStyle w:val="TableContents"/>
        <w:numPr>
          <w:ilvl w:val="0"/>
          <w:numId w:val="2"/>
        </w:numPr>
        <w:snapToGrid w:val="0"/>
        <w:jc w:val="both"/>
        <w:rPr>
          <w:rFonts w:ascii="Marianne" w:hAnsi="Marianne"/>
          <w:bCs/>
          <w:sz w:val="20"/>
          <w:szCs w:val="20"/>
        </w:rPr>
      </w:pPr>
      <w:r>
        <w:rPr>
          <w:rFonts w:ascii="Marianne" w:hAnsi="Marianne"/>
          <w:bCs/>
          <w:sz w:val="20"/>
          <w:szCs w:val="20"/>
        </w:rPr>
        <w:t>Expérience dans les archives souhaitée</w:t>
      </w:r>
    </w:p>
    <w:p w14:paraId="3BB03C1B" w14:textId="77777777" w:rsidR="00C17FD9" w:rsidRDefault="00C17FD9" w:rsidP="00C17FD9">
      <w:pPr>
        <w:jc w:val="both"/>
      </w:pPr>
    </w:p>
    <w:p w14:paraId="21E5D11B" w14:textId="77777777" w:rsidR="00982BD5" w:rsidRPr="007D672D" w:rsidRDefault="00982BD5" w:rsidP="007D672D">
      <w:pPr>
        <w:pStyle w:val="TableContents"/>
        <w:snapToGrid w:val="0"/>
        <w:jc w:val="both"/>
        <w:rPr>
          <w:rFonts w:asciiTheme="minorHAnsi" w:eastAsiaTheme="minorHAnsi" w:hAnsiTheme="minorHAnsi" w:cstheme="minorBidi"/>
          <w:sz w:val="22"/>
          <w:szCs w:val="22"/>
          <w:u w:val="single"/>
          <w:lang w:eastAsia="en-US" w:bidi="ar-SA"/>
          <w14:ligatures w14:val="standardContextual"/>
        </w:rPr>
      </w:pPr>
      <w:r w:rsidRPr="007D672D">
        <w:rPr>
          <w:rFonts w:asciiTheme="minorHAnsi" w:eastAsiaTheme="minorHAnsi" w:hAnsiTheme="minorHAnsi" w:cstheme="minorBidi"/>
          <w:sz w:val="22"/>
          <w:szCs w:val="22"/>
          <w:u w:val="single"/>
          <w:lang w:eastAsia="en-US" w:bidi="ar-SA"/>
          <w14:ligatures w14:val="standardContextual"/>
        </w:rPr>
        <w:t>Savoir-faire :</w:t>
      </w:r>
    </w:p>
    <w:p w14:paraId="0893AA7D"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Capacité à définir des objectifs et des délais et à s'y tenir</w:t>
      </w:r>
    </w:p>
    <w:p w14:paraId="2400414C" w14:textId="70177D8D" w:rsidR="00982BD5" w:rsidRDefault="007D672D" w:rsidP="00982BD5">
      <w:pPr>
        <w:pStyle w:val="TableContents"/>
        <w:snapToGrid w:val="0"/>
        <w:jc w:val="both"/>
        <w:rPr>
          <w:rFonts w:ascii="Marianne" w:hAnsi="Marianne"/>
          <w:bCs/>
          <w:sz w:val="20"/>
          <w:szCs w:val="20"/>
        </w:rPr>
      </w:pPr>
      <w:r>
        <w:rPr>
          <w:rFonts w:ascii="Marianne" w:hAnsi="Marianne"/>
          <w:bCs/>
          <w:sz w:val="20"/>
          <w:szCs w:val="20"/>
        </w:rPr>
        <w:t>Sens de l'organisation</w:t>
      </w:r>
    </w:p>
    <w:p w14:paraId="38D5C9D1"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Discrétion dans l'exercice professionnel</w:t>
      </w:r>
    </w:p>
    <w:p w14:paraId="71C12470" w14:textId="5DF91BB4" w:rsidR="00982BD5" w:rsidRPr="00E72050" w:rsidRDefault="00E72050" w:rsidP="00982BD5">
      <w:pPr>
        <w:pStyle w:val="TableContents"/>
        <w:snapToGrid w:val="0"/>
        <w:jc w:val="both"/>
        <w:rPr>
          <w:rFonts w:ascii="Marianne" w:hAnsi="Marianne"/>
          <w:bCs/>
          <w:sz w:val="20"/>
          <w:szCs w:val="20"/>
        </w:rPr>
      </w:pPr>
      <w:r w:rsidRPr="00E72050">
        <w:rPr>
          <w:rFonts w:ascii="Marianne" w:hAnsi="Marianne"/>
          <w:bCs/>
          <w:sz w:val="20"/>
          <w:szCs w:val="20"/>
        </w:rPr>
        <w:t>Maîtrise des outils bureautiques</w:t>
      </w:r>
    </w:p>
    <w:p w14:paraId="54C2DD99" w14:textId="52BC0C60" w:rsidR="00E72050" w:rsidRPr="00E72050" w:rsidRDefault="00E72050" w:rsidP="00982BD5">
      <w:pPr>
        <w:pStyle w:val="TableContents"/>
        <w:snapToGrid w:val="0"/>
        <w:jc w:val="both"/>
        <w:rPr>
          <w:rFonts w:ascii="Marianne" w:hAnsi="Marianne"/>
          <w:bCs/>
          <w:sz w:val="20"/>
          <w:szCs w:val="20"/>
        </w:rPr>
      </w:pPr>
      <w:r w:rsidRPr="00E72050">
        <w:rPr>
          <w:rFonts w:ascii="Marianne" w:hAnsi="Marianne"/>
          <w:bCs/>
          <w:sz w:val="20"/>
          <w:szCs w:val="20"/>
        </w:rPr>
        <w:t>Intérêt pour l'histoire contemporaine</w:t>
      </w:r>
    </w:p>
    <w:p w14:paraId="3BB75CD3" w14:textId="77777777" w:rsidR="00E72050" w:rsidRDefault="00E72050" w:rsidP="00982BD5">
      <w:pPr>
        <w:pStyle w:val="TableContents"/>
        <w:snapToGrid w:val="0"/>
        <w:jc w:val="both"/>
        <w:rPr>
          <w:rFonts w:ascii="Marianne" w:hAnsi="Marianne"/>
          <w:bCs/>
          <w:sz w:val="20"/>
          <w:szCs w:val="20"/>
        </w:rPr>
      </w:pPr>
    </w:p>
    <w:p w14:paraId="2AA688DC" w14:textId="77777777" w:rsidR="00E72050" w:rsidRDefault="00E72050" w:rsidP="00982BD5">
      <w:pPr>
        <w:pStyle w:val="TableContents"/>
        <w:snapToGrid w:val="0"/>
        <w:jc w:val="both"/>
        <w:rPr>
          <w:rFonts w:ascii="Marianne" w:hAnsi="Marianne"/>
          <w:bCs/>
          <w:sz w:val="20"/>
          <w:szCs w:val="20"/>
        </w:rPr>
      </w:pPr>
    </w:p>
    <w:p w14:paraId="199FCAE9" w14:textId="77777777" w:rsidR="00982BD5" w:rsidRPr="007D672D" w:rsidRDefault="00982BD5" w:rsidP="007D672D">
      <w:pPr>
        <w:pStyle w:val="TableContents"/>
        <w:snapToGrid w:val="0"/>
        <w:jc w:val="both"/>
        <w:rPr>
          <w:rFonts w:asciiTheme="minorHAnsi" w:eastAsiaTheme="minorHAnsi" w:hAnsiTheme="minorHAnsi" w:cstheme="minorBidi"/>
          <w:sz w:val="22"/>
          <w:szCs w:val="22"/>
          <w:u w:val="single"/>
          <w:lang w:eastAsia="en-US" w:bidi="ar-SA"/>
          <w14:ligatures w14:val="standardContextual"/>
        </w:rPr>
      </w:pPr>
      <w:r w:rsidRPr="007D672D">
        <w:rPr>
          <w:rFonts w:asciiTheme="minorHAnsi" w:eastAsiaTheme="minorHAnsi" w:hAnsiTheme="minorHAnsi" w:cstheme="minorBidi"/>
          <w:sz w:val="22"/>
          <w:szCs w:val="22"/>
          <w:u w:val="single"/>
          <w:lang w:eastAsia="en-US" w:bidi="ar-SA"/>
          <w14:ligatures w14:val="standardContextual"/>
        </w:rPr>
        <w:t>Compétences comportementales :</w:t>
      </w:r>
    </w:p>
    <w:p w14:paraId="5185E547" w14:textId="3EAA727C" w:rsidR="00982BD5" w:rsidRDefault="00982BD5" w:rsidP="00982BD5">
      <w:pPr>
        <w:pStyle w:val="TableContents"/>
        <w:snapToGrid w:val="0"/>
        <w:jc w:val="both"/>
        <w:rPr>
          <w:rFonts w:ascii="Marianne" w:hAnsi="Marianne"/>
          <w:bCs/>
          <w:sz w:val="20"/>
          <w:szCs w:val="20"/>
        </w:rPr>
      </w:pPr>
      <w:r>
        <w:rPr>
          <w:rFonts w:ascii="Marianne" w:hAnsi="Marianne"/>
          <w:bCs/>
          <w:sz w:val="20"/>
          <w:szCs w:val="20"/>
        </w:rPr>
        <w:t>Aptitude au travail en équipe,</w:t>
      </w:r>
    </w:p>
    <w:p w14:paraId="18B9C87C"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Sens de l'écoute ;</w:t>
      </w:r>
    </w:p>
    <w:p w14:paraId="2A4D01E8" w14:textId="4B168304" w:rsidR="00982BD5" w:rsidRDefault="00982BD5" w:rsidP="00982BD5">
      <w:pPr>
        <w:pStyle w:val="TableContents"/>
        <w:snapToGrid w:val="0"/>
        <w:jc w:val="both"/>
        <w:rPr>
          <w:rFonts w:ascii="Marianne" w:hAnsi="Marianne"/>
          <w:bCs/>
          <w:sz w:val="20"/>
          <w:szCs w:val="20"/>
        </w:rPr>
      </w:pPr>
      <w:r>
        <w:rPr>
          <w:rFonts w:ascii="Marianne" w:hAnsi="Marianne"/>
          <w:bCs/>
          <w:sz w:val="20"/>
          <w:szCs w:val="20"/>
        </w:rPr>
        <w:t>Capacité d'initiative et d'autonomie, associée à une capacité de restitution à sa hiérarchie ;</w:t>
      </w:r>
    </w:p>
    <w:p w14:paraId="674EF859"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Adaptabilité ;</w:t>
      </w:r>
    </w:p>
    <w:p w14:paraId="5B9A4AB8" w14:textId="77777777" w:rsidR="00982BD5" w:rsidRDefault="00982BD5" w:rsidP="00982BD5">
      <w:pPr>
        <w:pStyle w:val="TableContents"/>
        <w:snapToGrid w:val="0"/>
        <w:jc w:val="both"/>
        <w:rPr>
          <w:rFonts w:ascii="Marianne" w:hAnsi="Marianne"/>
          <w:bCs/>
          <w:sz w:val="20"/>
          <w:szCs w:val="20"/>
        </w:rPr>
      </w:pPr>
      <w:r>
        <w:rPr>
          <w:rFonts w:ascii="Marianne" w:hAnsi="Marianne"/>
          <w:bCs/>
          <w:sz w:val="20"/>
          <w:szCs w:val="20"/>
        </w:rPr>
        <w:t>Rigueur ;</w:t>
      </w:r>
    </w:p>
    <w:p w14:paraId="036DC3B5" w14:textId="77777777" w:rsidR="00982BD5" w:rsidRDefault="00982BD5" w:rsidP="00982BD5">
      <w:pPr>
        <w:tabs>
          <w:tab w:val="right" w:pos="10348"/>
        </w:tabs>
        <w:jc w:val="both"/>
        <w:rPr>
          <w:rFonts w:ascii="Marianne" w:hAnsi="Marianne"/>
          <w:b/>
          <w:bCs/>
          <w:sz w:val="20"/>
          <w:szCs w:val="20"/>
          <w:u w:val="single"/>
        </w:rPr>
      </w:pPr>
    </w:p>
    <w:p w14:paraId="24F9AB5B" w14:textId="77777777" w:rsidR="00982BD5" w:rsidRDefault="00982BD5" w:rsidP="00982BD5">
      <w:pPr>
        <w:tabs>
          <w:tab w:val="right" w:pos="10348"/>
        </w:tabs>
        <w:jc w:val="both"/>
        <w:rPr>
          <w:rFonts w:ascii="Marianne" w:hAnsi="Marianne"/>
          <w:b/>
          <w:bCs/>
          <w:sz w:val="20"/>
          <w:szCs w:val="20"/>
          <w:u w:val="single"/>
        </w:rPr>
      </w:pPr>
      <w:r>
        <w:rPr>
          <w:rFonts w:ascii="Marianne" w:hAnsi="Marianne"/>
          <w:b/>
          <w:bCs/>
          <w:sz w:val="20"/>
          <w:szCs w:val="20"/>
          <w:u w:val="single"/>
        </w:rPr>
        <w:t>Informations complémentaires</w:t>
      </w:r>
      <w:r>
        <w:rPr>
          <w:rFonts w:ascii="Marianne" w:hAnsi="Marianne"/>
          <w:bCs/>
          <w:sz w:val="20"/>
          <w:szCs w:val="20"/>
        </w:rPr>
        <w:t> :</w:t>
      </w:r>
      <w:r>
        <w:rPr>
          <w:rFonts w:ascii="Marianne" w:hAnsi="Marianne"/>
          <w:bCs/>
          <w:sz w:val="20"/>
          <w:szCs w:val="20"/>
          <w:u w:val="single"/>
        </w:rPr>
        <w:t xml:space="preserve"> </w:t>
      </w:r>
    </w:p>
    <w:p w14:paraId="4FADF88F" w14:textId="77777777" w:rsidR="00982BD5" w:rsidRDefault="00982BD5" w:rsidP="00982BD5">
      <w:pPr>
        <w:tabs>
          <w:tab w:val="right" w:pos="10348"/>
        </w:tabs>
        <w:jc w:val="both"/>
        <w:rPr>
          <w:rFonts w:ascii="Marianne" w:hAnsi="Marianne"/>
          <w:bCs/>
          <w:sz w:val="20"/>
          <w:szCs w:val="20"/>
        </w:rPr>
      </w:pPr>
      <w:r>
        <w:rPr>
          <w:rFonts w:ascii="Marianne" w:hAnsi="Marianne"/>
          <w:b/>
          <w:bCs/>
          <w:sz w:val="20"/>
          <w:szCs w:val="20"/>
        </w:rPr>
        <w:t>Liaisons hiérarchiques</w:t>
      </w:r>
      <w:r>
        <w:rPr>
          <w:rFonts w:ascii="Marianne" w:hAnsi="Marianne"/>
          <w:bCs/>
          <w:sz w:val="20"/>
          <w:szCs w:val="20"/>
        </w:rPr>
        <w:t xml:space="preserve"> : </w:t>
      </w:r>
    </w:p>
    <w:p w14:paraId="13F2A467" w14:textId="2640343B" w:rsidR="00982BD5" w:rsidRDefault="00982BD5" w:rsidP="00982BD5">
      <w:pPr>
        <w:tabs>
          <w:tab w:val="right" w:pos="10348"/>
        </w:tabs>
        <w:jc w:val="both"/>
        <w:rPr>
          <w:rFonts w:ascii="Marianne" w:hAnsi="Marianne"/>
          <w:bCs/>
          <w:sz w:val="20"/>
          <w:szCs w:val="20"/>
        </w:rPr>
      </w:pPr>
      <w:r>
        <w:rPr>
          <w:rFonts w:ascii="Marianne" w:hAnsi="Marianne"/>
          <w:bCs/>
          <w:sz w:val="20"/>
          <w:szCs w:val="20"/>
        </w:rPr>
        <w:lastRenderedPageBreak/>
        <w:t xml:space="preserve">Le/la vacataire est placé(e) sous la responsabilité directe du/de la responsable du pôle Naturalisation ou, </w:t>
      </w:r>
      <w:r w:rsidRPr="00E506F7">
        <w:rPr>
          <w:rFonts w:ascii="Marianne" w:hAnsi="Marianne"/>
          <w:bCs/>
          <w:sz w:val="20"/>
          <w:szCs w:val="20"/>
        </w:rPr>
        <w:t>le cas échéant, pour la conduite de projets spécifiques, d'un personnel scientifique délégué à cet effet.</w:t>
      </w:r>
    </w:p>
    <w:p w14:paraId="5E99CD39" w14:textId="77777777" w:rsidR="00982BD5" w:rsidRDefault="00982BD5" w:rsidP="00982BD5">
      <w:pPr>
        <w:tabs>
          <w:tab w:val="right" w:pos="10348"/>
        </w:tabs>
        <w:jc w:val="both"/>
        <w:rPr>
          <w:rFonts w:ascii="Marianne" w:hAnsi="Marianne"/>
          <w:bCs/>
          <w:sz w:val="20"/>
          <w:szCs w:val="20"/>
        </w:rPr>
      </w:pPr>
      <w:r>
        <w:rPr>
          <w:rFonts w:ascii="Marianne" w:hAnsi="Marianne"/>
          <w:b/>
          <w:bCs/>
          <w:sz w:val="20"/>
          <w:szCs w:val="20"/>
        </w:rPr>
        <w:t>Liaisons fonctionnelles</w:t>
      </w:r>
      <w:r>
        <w:rPr>
          <w:rFonts w:ascii="Marianne" w:hAnsi="Marianne"/>
          <w:bCs/>
          <w:sz w:val="20"/>
          <w:szCs w:val="20"/>
        </w:rPr>
        <w:t xml:space="preserve"> : </w:t>
      </w:r>
    </w:p>
    <w:p w14:paraId="4D62DA53" w14:textId="7D5CDD5A" w:rsidR="00982BD5" w:rsidRDefault="00982BD5" w:rsidP="00982BD5">
      <w:pPr>
        <w:tabs>
          <w:tab w:val="right" w:pos="10348"/>
        </w:tabs>
        <w:jc w:val="both"/>
        <w:rPr>
          <w:rFonts w:ascii="Marianne" w:hAnsi="Marianne"/>
          <w:bCs/>
          <w:sz w:val="20"/>
          <w:szCs w:val="20"/>
        </w:rPr>
      </w:pPr>
      <w:r>
        <w:rPr>
          <w:rFonts w:ascii="Marianne" w:hAnsi="Marianne"/>
          <w:bCs/>
          <w:sz w:val="20"/>
          <w:szCs w:val="20"/>
        </w:rPr>
        <w:t xml:space="preserve">Dans le cadre de ses missions, le/la vacataire est conduit à travailler avec les personnels scientifiques, techniques et administratif de </w:t>
      </w:r>
      <w:r w:rsidRPr="00E506F7">
        <w:rPr>
          <w:rFonts w:ascii="Marianne" w:hAnsi="Marianne"/>
          <w:bCs/>
          <w:sz w:val="20"/>
          <w:szCs w:val="20"/>
        </w:rPr>
        <w:t>l'ensemble du département, avec l’ensemble des directions, départements et services des Archives nationales ainsi qu'avec les sous-directions du Service intermini</w:t>
      </w:r>
      <w:r w:rsidR="00E506F7" w:rsidRPr="00E506F7">
        <w:rPr>
          <w:rFonts w:ascii="Marianne" w:hAnsi="Marianne"/>
          <w:bCs/>
          <w:sz w:val="20"/>
          <w:szCs w:val="20"/>
        </w:rPr>
        <w:t>stériel des Archives de France</w:t>
      </w:r>
      <w:r w:rsidRPr="00E506F7">
        <w:rPr>
          <w:rFonts w:ascii="Marianne" w:hAnsi="Marianne"/>
          <w:bCs/>
          <w:sz w:val="20"/>
          <w:szCs w:val="20"/>
        </w:rPr>
        <w:t>.</w:t>
      </w:r>
    </w:p>
    <w:p w14:paraId="17A51280" w14:textId="77777777" w:rsidR="00982BD5" w:rsidRDefault="00982BD5" w:rsidP="00982BD5">
      <w:pPr>
        <w:tabs>
          <w:tab w:val="right" w:pos="10348"/>
        </w:tabs>
        <w:jc w:val="both"/>
        <w:rPr>
          <w:rFonts w:ascii="Marianne" w:hAnsi="Marianne"/>
          <w:b/>
          <w:bCs/>
          <w:sz w:val="20"/>
          <w:szCs w:val="20"/>
        </w:rPr>
      </w:pPr>
      <w:r>
        <w:rPr>
          <w:rFonts w:ascii="Marianne" w:hAnsi="Marianne"/>
          <w:b/>
          <w:bCs/>
          <w:sz w:val="20"/>
          <w:szCs w:val="20"/>
        </w:rPr>
        <w:t>Contact pour information sur le poste :</w:t>
      </w:r>
    </w:p>
    <w:p w14:paraId="32C3769E" w14:textId="77777777" w:rsidR="00982BD5" w:rsidRDefault="00982BD5" w:rsidP="00982BD5">
      <w:pPr>
        <w:pStyle w:val="Paragraphedeliste"/>
        <w:widowControl w:val="0"/>
        <w:numPr>
          <w:ilvl w:val="0"/>
          <w:numId w:val="1"/>
        </w:numPr>
        <w:tabs>
          <w:tab w:val="right" w:pos="10348"/>
        </w:tabs>
        <w:spacing w:after="0" w:line="240" w:lineRule="auto"/>
        <w:jc w:val="both"/>
        <w:rPr>
          <w:rFonts w:ascii="Marianne" w:hAnsi="Marianne"/>
          <w:bCs/>
          <w:sz w:val="20"/>
          <w:szCs w:val="20"/>
        </w:rPr>
      </w:pPr>
      <w:r>
        <w:rPr>
          <w:rFonts w:ascii="Marianne" w:hAnsi="Marianne"/>
          <w:b/>
          <w:bCs/>
          <w:sz w:val="20"/>
          <w:szCs w:val="20"/>
        </w:rPr>
        <w:t xml:space="preserve">courriel 1 : </w:t>
      </w:r>
      <w:r>
        <w:rPr>
          <w:rFonts w:ascii="Marianne" w:hAnsi="Marianne"/>
          <w:bCs/>
          <w:sz w:val="20"/>
          <w:szCs w:val="20"/>
        </w:rPr>
        <w:t>responsable du département de la Justice et de l’Intérieur : Violaine Challéat-Fonck</w:t>
      </w:r>
    </w:p>
    <w:p w14:paraId="0FAA5522" w14:textId="533D105C" w:rsidR="00982BD5" w:rsidRDefault="0002578A" w:rsidP="00982BD5">
      <w:pPr>
        <w:tabs>
          <w:tab w:val="right" w:pos="10348"/>
        </w:tabs>
        <w:jc w:val="both"/>
        <w:rPr>
          <w:rStyle w:val="Lienhypertexte"/>
          <w:rFonts w:ascii="Marianne" w:hAnsi="Marianne"/>
          <w:bCs/>
          <w:sz w:val="20"/>
          <w:szCs w:val="20"/>
        </w:rPr>
      </w:pPr>
      <w:hyperlink r:id="rId9" w:history="1">
        <w:r w:rsidR="00E506F7" w:rsidRPr="0058663B">
          <w:rPr>
            <w:rStyle w:val="Lienhypertexte"/>
            <w:rFonts w:ascii="Marianne" w:hAnsi="Marianne"/>
            <w:bCs/>
            <w:sz w:val="20"/>
            <w:szCs w:val="20"/>
          </w:rPr>
          <w:t>violaine.challeat-fonck@culture.gouv.fr</w:t>
        </w:r>
      </w:hyperlink>
    </w:p>
    <w:p w14:paraId="0C81B83E" w14:textId="31CC07EF" w:rsidR="006A3C84" w:rsidRPr="006A3C84" w:rsidRDefault="006A3C84" w:rsidP="006A3C84">
      <w:pPr>
        <w:pStyle w:val="Paragraphedeliste"/>
        <w:widowControl w:val="0"/>
        <w:numPr>
          <w:ilvl w:val="0"/>
          <w:numId w:val="1"/>
        </w:numPr>
        <w:tabs>
          <w:tab w:val="right" w:pos="10348"/>
        </w:tabs>
        <w:spacing w:after="0" w:line="240" w:lineRule="auto"/>
        <w:jc w:val="both"/>
        <w:rPr>
          <w:rFonts w:ascii="Marianne" w:hAnsi="Marianne"/>
          <w:bCs/>
          <w:sz w:val="20"/>
          <w:szCs w:val="20"/>
        </w:rPr>
      </w:pPr>
      <w:r w:rsidRPr="006A3C84">
        <w:rPr>
          <w:rFonts w:ascii="Marianne" w:hAnsi="Marianne"/>
          <w:b/>
          <w:bCs/>
          <w:sz w:val="20"/>
          <w:szCs w:val="20"/>
        </w:rPr>
        <w:t xml:space="preserve">courriel </w:t>
      </w:r>
      <w:r w:rsidR="00EE4152">
        <w:rPr>
          <w:rFonts w:ascii="Marianne" w:hAnsi="Marianne"/>
          <w:b/>
          <w:bCs/>
          <w:sz w:val="20"/>
          <w:szCs w:val="20"/>
        </w:rPr>
        <w:t>2</w:t>
      </w:r>
      <w:r w:rsidRPr="006A3C84">
        <w:rPr>
          <w:rFonts w:ascii="Marianne" w:hAnsi="Marianne"/>
          <w:b/>
          <w:bCs/>
          <w:sz w:val="20"/>
          <w:szCs w:val="20"/>
        </w:rPr>
        <w:t xml:space="preserve"> : </w:t>
      </w:r>
      <w:r w:rsidRPr="006A3C84">
        <w:rPr>
          <w:rFonts w:ascii="Marianne" w:hAnsi="Marianne"/>
          <w:bCs/>
          <w:sz w:val="20"/>
          <w:szCs w:val="20"/>
        </w:rPr>
        <w:t xml:space="preserve">responsable de la coordination administrative du département Larissa Katalevitch : </w:t>
      </w:r>
    </w:p>
    <w:p w14:paraId="5951D0B1" w14:textId="36D5E858" w:rsidR="006A3C84" w:rsidRPr="006A3C84" w:rsidRDefault="0002578A" w:rsidP="006A3C84">
      <w:pPr>
        <w:widowControl w:val="0"/>
        <w:tabs>
          <w:tab w:val="right" w:pos="10348"/>
        </w:tabs>
        <w:spacing w:after="0" w:line="240" w:lineRule="auto"/>
        <w:jc w:val="both"/>
        <w:rPr>
          <w:rFonts w:ascii="Marianne" w:hAnsi="Marianne"/>
          <w:bCs/>
          <w:sz w:val="20"/>
          <w:szCs w:val="20"/>
        </w:rPr>
      </w:pPr>
      <w:hyperlink r:id="rId10" w:history="1">
        <w:r w:rsidR="006A3C84" w:rsidRPr="006A3C84">
          <w:rPr>
            <w:rStyle w:val="Lienhypertexte"/>
            <w:rFonts w:ascii="Marianne" w:hAnsi="Marianne"/>
            <w:bCs/>
            <w:sz w:val="20"/>
            <w:szCs w:val="20"/>
          </w:rPr>
          <w:t>larissa.katalevitch@culture.gouv.fr</w:t>
        </w:r>
      </w:hyperlink>
      <w:r w:rsidR="006A3C84" w:rsidRPr="006A3C84">
        <w:rPr>
          <w:rFonts w:ascii="Marianne" w:hAnsi="Marianne"/>
          <w:bCs/>
          <w:sz w:val="20"/>
          <w:szCs w:val="20"/>
        </w:rPr>
        <w:t xml:space="preserve"> </w:t>
      </w:r>
    </w:p>
    <w:p w14:paraId="05522FD0" w14:textId="3A67ABEC" w:rsidR="00E506F7" w:rsidRPr="006A3C84" w:rsidRDefault="00E506F7" w:rsidP="006A3C84">
      <w:pPr>
        <w:pStyle w:val="Paragraphedeliste"/>
        <w:widowControl w:val="0"/>
        <w:tabs>
          <w:tab w:val="right" w:pos="10348"/>
        </w:tabs>
        <w:spacing w:after="0" w:line="240" w:lineRule="auto"/>
        <w:jc w:val="both"/>
        <w:rPr>
          <w:rFonts w:ascii="Marianne" w:hAnsi="Marianne"/>
          <w:bCs/>
          <w:sz w:val="20"/>
          <w:szCs w:val="20"/>
        </w:rPr>
      </w:pPr>
    </w:p>
    <w:p w14:paraId="7330577E" w14:textId="77777777" w:rsidR="00982BD5" w:rsidRDefault="00982BD5" w:rsidP="00982BD5">
      <w:pPr>
        <w:jc w:val="both"/>
      </w:pPr>
    </w:p>
    <w:sectPr w:rsidR="00982BD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40EA" w14:textId="77777777" w:rsidR="00C17FD9" w:rsidRDefault="00C17FD9" w:rsidP="00C17FD9">
      <w:pPr>
        <w:spacing w:after="0" w:line="240" w:lineRule="auto"/>
      </w:pPr>
      <w:r>
        <w:separator/>
      </w:r>
    </w:p>
  </w:endnote>
  <w:endnote w:type="continuationSeparator" w:id="0">
    <w:p w14:paraId="521103F4" w14:textId="77777777" w:rsidR="00C17FD9" w:rsidRDefault="00C17FD9" w:rsidP="00C1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474F" w14:textId="78731A52" w:rsidR="00C17FD9" w:rsidRDefault="00C17FD9">
    <w:pPr>
      <w:pStyle w:val="Pieddepage"/>
    </w:pPr>
    <w:r>
      <w:rPr>
        <w:noProof/>
        <w:lang w:eastAsia="fr-FR"/>
      </w:rPr>
      <mc:AlternateContent>
        <mc:Choice Requires="wps">
          <w:drawing>
            <wp:anchor distT="0" distB="0" distL="114300" distR="114300" simplePos="0" relativeHeight="251659264" behindDoc="0" locked="0" layoutInCell="0" allowOverlap="1" wp14:anchorId="72C5B7CB" wp14:editId="03B5FA95">
              <wp:simplePos x="0" y="0"/>
              <wp:positionH relativeFrom="page">
                <wp:posOffset>0</wp:posOffset>
              </wp:positionH>
              <wp:positionV relativeFrom="page">
                <wp:posOffset>10228580</wp:posOffset>
              </wp:positionV>
              <wp:extent cx="7560310" cy="273050"/>
              <wp:effectExtent l="0" t="0" r="0" b="12700"/>
              <wp:wrapNone/>
              <wp:docPr id="1" name="MSIPCM5f99449fac60f83aa276a349"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9987F" w14:textId="2F8B37CD" w:rsidR="00C17FD9" w:rsidRPr="006A3C84" w:rsidRDefault="006A3C84" w:rsidP="006A3C84">
                          <w:pPr>
                            <w:spacing w:after="0"/>
                            <w:jc w:val="center"/>
                            <w:rPr>
                              <w:rFonts w:ascii="Calibri" w:hAnsi="Calibri" w:cs="Calibri"/>
                              <w:color w:val="008000"/>
                              <w:sz w:val="24"/>
                            </w:rPr>
                          </w:pPr>
                          <w:r w:rsidRPr="006A3C84">
                            <w:rPr>
                              <w:rFonts w:ascii="Calibri" w:hAnsi="Calibri" w:cs="Calibri"/>
                              <w:color w:val="008000"/>
                              <w:sz w:val="24"/>
                            </w:rPr>
                            <w:t>C1 Données Internes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C5B7CB" id="_x0000_t202" coordsize="21600,21600" o:spt="202" path="m,l,21600r21600,l21600,xe">
              <v:stroke joinstyle="miter"/>
              <v:path gradientshapeok="t" o:connecttype="rect"/>
            </v:shapetype>
            <v:shape id="MSIPCM5f99449fac60f83aa276a349" o:spid="_x0000_s1026" type="#_x0000_t202" alt="{&quot;HashCode&quot;:-468733573,&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F89987F" w14:textId="2F8B37CD" w:rsidR="00C17FD9" w:rsidRPr="006A3C84" w:rsidRDefault="006A3C84" w:rsidP="006A3C84">
                    <w:pPr>
                      <w:spacing w:after="0"/>
                      <w:jc w:val="center"/>
                      <w:rPr>
                        <w:rFonts w:ascii="Calibri" w:hAnsi="Calibri" w:cs="Calibri"/>
                        <w:color w:val="008000"/>
                        <w:sz w:val="24"/>
                      </w:rPr>
                    </w:pPr>
                    <w:r w:rsidRPr="006A3C84">
                      <w:rPr>
                        <w:rFonts w:ascii="Calibri" w:hAnsi="Calibri" w:cs="Calibri"/>
                        <w:color w:val="008000"/>
                        <w:sz w:val="24"/>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08C3" w14:textId="77777777" w:rsidR="00C17FD9" w:rsidRDefault="00C17FD9" w:rsidP="00C17FD9">
      <w:pPr>
        <w:spacing w:after="0" w:line="240" w:lineRule="auto"/>
      </w:pPr>
      <w:r>
        <w:separator/>
      </w:r>
    </w:p>
  </w:footnote>
  <w:footnote w:type="continuationSeparator" w:id="0">
    <w:p w14:paraId="62A18279" w14:textId="77777777" w:rsidR="00C17FD9" w:rsidRDefault="00C17FD9" w:rsidP="00C17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596"/>
    <w:multiLevelType w:val="hybridMultilevel"/>
    <w:tmpl w:val="7BFC19D6"/>
    <w:lvl w:ilvl="0" w:tplc="39EA0F3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81816"/>
    <w:multiLevelType w:val="hybridMultilevel"/>
    <w:tmpl w:val="88B63F80"/>
    <w:lvl w:ilvl="0" w:tplc="A9CEF6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6654BF"/>
    <w:multiLevelType w:val="hybridMultilevel"/>
    <w:tmpl w:val="F392ACEC"/>
    <w:lvl w:ilvl="0" w:tplc="39EA0F3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706D47"/>
    <w:multiLevelType w:val="hybridMultilevel"/>
    <w:tmpl w:val="30B2A362"/>
    <w:lvl w:ilvl="0" w:tplc="0250FEB0">
      <w:numFmt w:val="bullet"/>
      <w:lvlText w:val=""/>
      <w:lvlJc w:val="left"/>
      <w:pPr>
        <w:ind w:left="720" w:hanging="360"/>
      </w:pPr>
      <w:rPr>
        <w:rFonts w:ascii="Wingdings" w:eastAsia="SimSun" w:hAnsi="Wingdings" w:cs="Mang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80165431">
    <w:abstractNumId w:val="1"/>
  </w:num>
  <w:num w:numId="2" w16cid:durableId="1369525344">
    <w:abstractNumId w:val="3"/>
  </w:num>
  <w:num w:numId="3" w16cid:durableId="677392197">
    <w:abstractNumId w:val="0"/>
  </w:num>
  <w:num w:numId="4" w16cid:durableId="90853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9A"/>
    <w:rsid w:val="0002578A"/>
    <w:rsid w:val="00046070"/>
    <w:rsid w:val="00076EB4"/>
    <w:rsid w:val="000D4F89"/>
    <w:rsid w:val="00163DC7"/>
    <w:rsid w:val="001923FC"/>
    <w:rsid w:val="001C6BBE"/>
    <w:rsid w:val="001D1C3F"/>
    <w:rsid w:val="00393844"/>
    <w:rsid w:val="003E2D2A"/>
    <w:rsid w:val="004064BC"/>
    <w:rsid w:val="00421034"/>
    <w:rsid w:val="00493092"/>
    <w:rsid w:val="004D077D"/>
    <w:rsid w:val="00503095"/>
    <w:rsid w:val="0051445B"/>
    <w:rsid w:val="005C41E5"/>
    <w:rsid w:val="005D099A"/>
    <w:rsid w:val="00632E58"/>
    <w:rsid w:val="00667AE4"/>
    <w:rsid w:val="006A3C84"/>
    <w:rsid w:val="006C1C5E"/>
    <w:rsid w:val="007D672D"/>
    <w:rsid w:val="00956E8D"/>
    <w:rsid w:val="009648BE"/>
    <w:rsid w:val="00982BD5"/>
    <w:rsid w:val="009D1B4A"/>
    <w:rsid w:val="00A80FA9"/>
    <w:rsid w:val="00BB69A0"/>
    <w:rsid w:val="00C17FD9"/>
    <w:rsid w:val="00C741ED"/>
    <w:rsid w:val="00CA1BAF"/>
    <w:rsid w:val="00E506F7"/>
    <w:rsid w:val="00E72050"/>
    <w:rsid w:val="00EE4152"/>
    <w:rsid w:val="00F3682E"/>
    <w:rsid w:val="00F93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FB8A8"/>
  <w15:chartTrackingRefBased/>
  <w15:docId w15:val="{905229F3-AB86-42C7-BDDA-5C7A1628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7FD9"/>
    <w:pPr>
      <w:tabs>
        <w:tab w:val="center" w:pos="4536"/>
        <w:tab w:val="right" w:pos="9072"/>
      </w:tabs>
      <w:spacing w:after="0" w:line="240" w:lineRule="auto"/>
    </w:pPr>
  </w:style>
  <w:style w:type="character" w:customStyle="1" w:styleId="En-tteCar">
    <w:name w:val="En-tête Car"/>
    <w:basedOn w:val="Policepardfaut"/>
    <w:link w:val="En-tte"/>
    <w:uiPriority w:val="99"/>
    <w:rsid w:val="00C17FD9"/>
  </w:style>
  <w:style w:type="paragraph" w:styleId="Pieddepage">
    <w:name w:val="footer"/>
    <w:basedOn w:val="Normal"/>
    <w:link w:val="PieddepageCar"/>
    <w:uiPriority w:val="99"/>
    <w:unhideWhenUsed/>
    <w:rsid w:val="00C17F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FD9"/>
  </w:style>
  <w:style w:type="paragraph" w:styleId="Paragraphedeliste">
    <w:name w:val="List Paragraph"/>
    <w:basedOn w:val="Normal"/>
    <w:uiPriority w:val="34"/>
    <w:qFormat/>
    <w:rsid w:val="001C6BBE"/>
    <w:pPr>
      <w:ind w:left="720"/>
      <w:contextualSpacing/>
    </w:pPr>
  </w:style>
  <w:style w:type="character" w:styleId="Lienhypertexte">
    <w:name w:val="Hyperlink"/>
    <w:basedOn w:val="Policepardfaut"/>
    <w:uiPriority w:val="99"/>
    <w:unhideWhenUsed/>
    <w:rsid w:val="003E2D2A"/>
    <w:rPr>
      <w:color w:val="0563C1" w:themeColor="hyperlink"/>
      <w:u w:val="single"/>
    </w:rPr>
  </w:style>
  <w:style w:type="paragraph" w:customStyle="1" w:styleId="TableContents">
    <w:name w:val="Table Contents"/>
    <w:basedOn w:val="Normal"/>
    <w:qFormat/>
    <w:rsid w:val="003E2D2A"/>
    <w:pPr>
      <w:widowControl w:val="0"/>
      <w:suppressAutoHyphens/>
      <w:spacing w:after="0" w:line="240" w:lineRule="auto"/>
    </w:pPr>
    <w:rPr>
      <w:rFonts w:ascii="Liberation Serif" w:eastAsia="SimSun" w:hAnsi="Liberation Serif" w:cs="Mangal"/>
      <w:sz w:val="24"/>
      <w:szCs w:val="24"/>
      <w:lang w:eastAsia="zh-CN" w:bidi="hi-IN"/>
      <w14:ligatures w14:val="none"/>
    </w:rPr>
  </w:style>
  <w:style w:type="character" w:styleId="Mentionnonrsolue">
    <w:name w:val="Unresolved Mention"/>
    <w:basedOn w:val="Policepardfaut"/>
    <w:uiPriority w:val="99"/>
    <w:semiHidden/>
    <w:unhideWhenUsed/>
    <w:rsid w:val="006A3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8423">
      <w:bodyDiv w:val="1"/>
      <w:marLeft w:val="0"/>
      <w:marRight w:val="0"/>
      <w:marTop w:val="0"/>
      <w:marBottom w:val="0"/>
      <w:divBdr>
        <w:top w:val="none" w:sz="0" w:space="0" w:color="auto"/>
        <w:left w:val="none" w:sz="0" w:space="0" w:color="auto"/>
        <w:bottom w:val="none" w:sz="0" w:space="0" w:color="auto"/>
        <w:right w:val="none" w:sz="0" w:space="0" w:color="auto"/>
      </w:divBdr>
    </w:div>
    <w:div w:id="892351916">
      <w:bodyDiv w:val="1"/>
      <w:marLeft w:val="0"/>
      <w:marRight w:val="0"/>
      <w:marTop w:val="0"/>
      <w:marBottom w:val="0"/>
      <w:divBdr>
        <w:top w:val="none" w:sz="0" w:space="0" w:color="auto"/>
        <w:left w:val="none" w:sz="0" w:space="0" w:color="auto"/>
        <w:bottom w:val="none" w:sz="0" w:space="0" w:color="auto"/>
        <w:right w:val="none" w:sz="0" w:space="0" w:color="auto"/>
      </w:divBdr>
    </w:div>
    <w:div w:id="1050692376">
      <w:bodyDiv w:val="1"/>
      <w:marLeft w:val="0"/>
      <w:marRight w:val="0"/>
      <w:marTop w:val="0"/>
      <w:marBottom w:val="0"/>
      <w:divBdr>
        <w:top w:val="none" w:sz="0" w:space="0" w:color="auto"/>
        <w:left w:val="none" w:sz="0" w:space="0" w:color="auto"/>
        <w:bottom w:val="none" w:sz="0" w:space="0" w:color="auto"/>
        <w:right w:val="none" w:sz="0" w:space="0" w:color="auto"/>
      </w:divBdr>
    </w:div>
    <w:div w:id="1320580343">
      <w:bodyDiv w:val="1"/>
      <w:marLeft w:val="0"/>
      <w:marRight w:val="0"/>
      <w:marTop w:val="0"/>
      <w:marBottom w:val="0"/>
      <w:divBdr>
        <w:top w:val="none" w:sz="0" w:space="0" w:color="auto"/>
        <w:left w:val="none" w:sz="0" w:space="0" w:color="auto"/>
        <w:bottom w:val="none" w:sz="0" w:space="0" w:color="auto"/>
        <w:right w:val="none" w:sz="0" w:space="0" w:color="auto"/>
      </w:divBdr>
    </w:div>
    <w:div w:id="1806388790">
      <w:bodyDiv w:val="1"/>
      <w:marLeft w:val="0"/>
      <w:marRight w:val="0"/>
      <w:marTop w:val="0"/>
      <w:marBottom w:val="0"/>
      <w:divBdr>
        <w:top w:val="none" w:sz="0" w:space="0" w:color="auto"/>
        <w:left w:val="none" w:sz="0" w:space="0" w:color="auto"/>
        <w:bottom w:val="none" w:sz="0" w:space="0" w:color="auto"/>
        <w:right w:val="none" w:sz="0" w:space="0" w:color="auto"/>
      </w:divBdr>
    </w:div>
    <w:div w:id="2077774595">
      <w:bodyDiv w:val="1"/>
      <w:marLeft w:val="0"/>
      <w:marRight w:val="0"/>
      <w:marTop w:val="0"/>
      <w:marBottom w:val="0"/>
      <w:divBdr>
        <w:top w:val="none" w:sz="0" w:space="0" w:color="auto"/>
        <w:left w:val="none" w:sz="0" w:space="0" w:color="auto"/>
        <w:bottom w:val="none" w:sz="0" w:space="0" w:color="auto"/>
        <w:right w:val="none" w:sz="0" w:space="0" w:color="auto"/>
      </w:divBdr>
    </w:div>
    <w:div w:id="21473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nationales.culture.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rissa.katalevitch@culture.gouv.fr" TargetMode="External"/><Relationship Id="rId4" Type="http://schemas.openxmlformats.org/officeDocument/2006/relationships/settings" Target="settings.xml"/><Relationship Id="rId9" Type="http://schemas.openxmlformats.org/officeDocument/2006/relationships/hyperlink" Target="mailto:violaine.challeat-fonck@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62F7-9DE1-4994-8304-B069F3F1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913</Words>
  <Characters>5022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GARNIER Caroline</dc:creator>
  <cp:keywords/>
  <dc:description/>
  <cp:lastModifiedBy>CHALLEAT-FONCK Violaine</cp:lastModifiedBy>
  <cp:revision>4</cp:revision>
  <cp:lastPrinted>2024-03-19T08:50:00Z</cp:lastPrinted>
  <dcterms:created xsi:type="dcterms:W3CDTF">2025-04-17T07:09:00Z</dcterms:created>
  <dcterms:modified xsi:type="dcterms:W3CDTF">2025-04-17T07:29:00Z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2024-03-19T08:51:18Z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97b7dc17-328e-41d9-af1e-e9ff7a9228c5</vt:lpwstr>
  </property>
  <property fmtid="{D5CDD505-2E9C-101B-9397-08002B2CF9AE}" pid="8" name="MSIP_Label_37f782e2-1048-4ae6-8561-ea50d7047004_ContentBits">
    <vt:lpwstr>2</vt:lpwstr>
  </property>
</Properties>
</file>