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3C18" w14:textId="22AA312B" w:rsidR="00B2720F" w:rsidRPr="00CD4573" w:rsidRDefault="00B2720F" w:rsidP="0075371D">
      <w:pPr>
        <w:shd w:val="clear" w:color="auto" w:fill="FFFFFF"/>
        <w:tabs>
          <w:tab w:val="num" w:pos="720"/>
        </w:tabs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E2BABD4" w14:textId="641B669A" w:rsidR="00BB03D0" w:rsidRPr="0075371D" w:rsidRDefault="002A360D" w:rsidP="0075371D">
      <w:pPr>
        <w:jc w:val="center"/>
        <w:rPr>
          <w:rFonts w:cstheme="minorHAnsi"/>
          <w:b/>
          <w:bCs/>
          <w:sz w:val="28"/>
          <w:szCs w:val="28"/>
        </w:rPr>
      </w:pPr>
      <w:r w:rsidRPr="0075371D">
        <w:rPr>
          <w:rFonts w:cstheme="minorHAnsi"/>
          <w:b/>
          <w:bCs/>
          <w:sz w:val="28"/>
          <w:szCs w:val="28"/>
        </w:rPr>
        <w:t xml:space="preserve">L’Université de Montpellier </w:t>
      </w:r>
      <w:r w:rsidR="0075371D" w:rsidRPr="0075371D">
        <w:rPr>
          <w:rFonts w:cstheme="minorHAnsi"/>
          <w:b/>
          <w:bCs/>
          <w:sz w:val="28"/>
          <w:szCs w:val="28"/>
        </w:rPr>
        <w:t xml:space="preserve">propose </w:t>
      </w:r>
      <w:r w:rsidR="00BB03D0" w:rsidRPr="0075371D">
        <w:rPr>
          <w:rFonts w:cstheme="minorHAnsi"/>
          <w:b/>
          <w:bCs/>
          <w:sz w:val="28"/>
          <w:szCs w:val="28"/>
        </w:rPr>
        <w:t xml:space="preserve">un </w:t>
      </w:r>
      <w:r w:rsidR="0075371D" w:rsidRPr="0075371D">
        <w:rPr>
          <w:rFonts w:cstheme="minorHAnsi"/>
          <w:b/>
          <w:bCs/>
          <w:sz w:val="28"/>
          <w:szCs w:val="28"/>
        </w:rPr>
        <w:t>stage</w:t>
      </w:r>
      <w:r w:rsidR="00BB03D0" w:rsidRPr="0075371D">
        <w:rPr>
          <w:rFonts w:cstheme="minorHAnsi"/>
          <w:b/>
          <w:bCs/>
          <w:sz w:val="28"/>
          <w:szCs w:val="28"/>
        </w:rPr>
        <w:t xml:space="preserve"> pour classer </w:t>
      </w:r>
      <w:r w:rsidR="0075371D" w:rsidRPr="0075371D">
        <w:rPr>
          <w:rFonts w:cstheme="minorHAnsi"/>
          <w:b/>
          <w:bCs/>
          <w:sz w:val="28"/>
          <w:szCs w:val="28"/>
        </w:rPr>
        <w:t>le</w:t>
      </w:r>
      <w:r w:rsidR="00BB03D0" w:rsidRPr="0075371D">
        <w:rPr>
          <w:rFonts w:cstheme="minorHAnsi"/>
          <w:b/>
          <w:bCs/>
          <w:sz w:val="28"/>
          <w:szCs w:val="28"/>
        </w:rPr>
        <w:t xml:space="preserve"> fonds d’archives du Droguier de la Faculté de Pharmacie.</w:t>
      </w:r>
    </w:p>
    <w:p w14:paraId="2986361C" w14:textId="77777777" w:rsidR="00B2720F" w:rsidRPr="0075371D" w:rsidRDefault="00B2720F" w:rsidP="0075371D">
      <w:pPr>
        <w:jc w:val="both"/>
        <w:rPr>
          <w:rFonts w:cstheme="minorHAnsi"/>
          <w:sz w:val="24"/>
          <w:szCs w:val="24"/>
        </w:rPr>
      </w:pPr>
    </w:p>
    <w:p w14:paraId="2830EA8A" w14:textId="77A26CBF" w:rsidR="0075371D" w:rsidRPr="0075371D" w:rsidRDefault="00CD4573" w:rsidP="0075371D">
      <w:pPr>
        <w:jc w:val="both"/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CARACTERISTIQUES DE L’OFFRE</w:t>
      </w:r>
      <w:r w:rsidR="0075371D" w:rsidRPr="0075371D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: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6C3F" w:rsidRPr="0075371D" w14:paraId="1AC5C565" w14:textId="77777777" w:rsidTr="00CD4573">
        <w:tc>
          <w:tcPr>
            <w:tcW w:w="2265" w:type="dxa"/>
            <w:vAlign w:val="center"/>
          </w:tcPr>
          <w:p w14:paraId="2DB917A1" w14:textId="0CE5CDAF" w:rsidR="00E76C3F" w:rsidRPr="0075371D" w:rsidRDefault="00E76C3F" w:rsidP="0075371D">
            <w:pPr>
              <w:jc w:val="center"/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Type de contrat</w:t>
            </w:r>
          </w:p>
        </w:tc>
        <w:tc>
          <w:tcPr>
            <w:tcW w:w="2265" w:type="dxa"/>
            <w:vAlign w:val="center"/>
          </w:tcPr>
          <w:p w14:paraId="30CC4931" w14:textId="7E9BA7B3" w:rsidR="00E76C3F" w:rsidRPr="0075371D" w:rsidRDefault="00E76C3F" w:rsidP="0075371D">
            <w:pPr>
              <w:jc w:val="center"/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Dates de contrat</w:t>
            </w:r>
          </w:p>
        </w:tc>
        <w:tc>
          <w:tcPr>
            <w:tcW w:w="2266" w:type="dxa"/>
            <w:vAlign w:val="center"/>
          </w:tcPr>
          <w:p w14:paraId="28209E24" w14:textId="56E05DCD" w:rsidR="00E76C3F" w:rsidRPr="0075371D" w:rsidRDefault="00E76C3F" w:rsidP="0075371D">
            <w:pPr>
              <w:jc w:val="center"/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Quotité de travail</w:t>
            </w:r>
          </w:p>
        </w:tc>
        <w:tc>
          <w:tcPr>
            <w:tcW w:w="2266" w:type="dxa"/>
            <w:vAlign w:val="center"/>
          </w:tcPr>
          <w:p w14:paraId="065F8D8B" w14:textId="3268704F" w:rsidR="00E76C3F" w:rsidRPr="0075371D" w:rsidRDefault="00E76C3F" w:rsidP="0075371D">
            <w:pPr>
              <w:jc w:val="center"/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b/>
                <w:bCs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Rémunération mensuelle</w:t>
            </w:r>
          </w:p>
        </w:tc>
      </w:tr>
      <w:tr w:rsidR="00E76C3F" w:rsidRPr="0075371D" w14:paraId="71F5E300" w14:textId="77777777" w:rsidTr="00CD4573">
        <w:tc>
          <w:tcPr>
            <w:tcW w:w="2265" w:type="dxa"/>
            <w:vAlign w:val="center"/>
          </w:tcPr>
          <w:p w14:paraId="30327A80" w14:textId="3063A1FA" w:rsidR="00E76C3F" w:rsidRPr="0075371D" w:rsidRDefault="00D87716" w:rsidP="0075371D">
            <w:pPr>
              <w:jc w:val="center"/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Stage</w:t>
            </w:r>
          </w:p>
        </w:tc>
        <w:tc>
          <w:tcPr>
            <w:tcW w:w="2265" w:type="dxa"/>
            <w:vAlign w:val="center"/>
          </w:tcPr>
          <w:p w14:paraId="1B924CEE" w14:textId="2E52A835" w:rsidR="00E76C3F" w:rsidRPr="0075371D" w:rsidRDefault="00E76C3F" w:rsidP="0075371D">
            <w:pPr>
              <w:jc w:val="center"/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 xml:space="preserve">Poste à pourvoir à compter du </w:t>
            </w:r>
            <w:r w:rsidR="004512D2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  <w:r w:rsidRPr="0075371D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/0</w:t>
            </w:r>
            <w:r w:rsidR="004512D2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  <w:r w:rsidRPr="0075371D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/2024</w:t>
            </w:r>
            <w:r w:rsidR="00A0314C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 xml:space="preserve"> pour une durée de 4 mois</w:t>
            </w:r>
          </w:p>
        </w:tc>
        <w:tc>
          <w:tcPr>
            <w:tcW w:w="2266" w:type="dxa"/>
            <w:vAlign w:val="center"/>
          </w:tcPr>
          <w:p w14:paraId="569E046D" w14:textId="16A1754C" w:rsidR="00E76C3F" w:rsidRPr="0075371D" w:rsidRDefault="00E76C3F" w:rsidP="0075371D">
            <w:pPr>
              <w:jc w:val="center"/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100 %</w:t>
            </w:r>
          </w:p>
        </w:tc>
        <w:tc>
          <w:tcPr>
            <w:tcW w:w="2266" w:type="dxa"/>
            <w:vAlign w:val="center"/>
          </w:tcPr>
          <w:p w14:paraId="071CABC2" w14:textId="6779A767" w:rsidR="00E76C3F" w:rsidRPr="0075371D" w:rsidRDefault="00D87716" w:rsidP="0075371D">
            <w:pPr>
              <w:jc w:val="center"/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5371D">
              <w:rPr>
                <w:rFonts w:eastAsia="Times New Roman" w:cstheme="minorHAnsi"/>
                <w:color w:val="373737"/>
                <w:kern w:val="0"/>
                <w:sz w:val="24"/>
                <w:szCs w:val="24"/>
                <w:lang w:eastAsia="fr-FR"/>
                <w14:ligatures w14:val="none"/>
              </w:rPr>
              <w:t>Gratification de stage</w:t>
            </w:r>
          </w:p>
        </w:tc>
      </w:tr>
    </w:tbl>
    <w:p w14:paraId="537E0A6A" w14:textId="77777777" w:rsidR="000704F5" w:rsidRDefault="000704F5" w:rsidP="0075371D">
      <w:pPr>
        <w:jc w:val="both"/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</w:pPr>
    </w:p>
    <w:p w14:paraId="50FBC376" w14:textId="19B5189D" w:rsidR="00DC685B" w:rsidRPr="0075371D" w:rsidRDefault="00DC685B" w:rsidP="004512D2">
      <w:p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AFFECTATION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  <w:r w:rsidRPr="0075371D">
        <w:rPr>
          <w:rFonts w:eastAsia="Times New Roman" w:cstheme="minorHAnsi"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: </w:t>
      </w:r>
    </w:p>
    <w:p w14:paraId="65866074" w14:textId="0AB9D60B" w:rsidR="00DC685B" w:rsidRPr="0075371D" w:rsidRDefault="00DC685B" w:rsidP="004512D2">
      <w:pPr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Structure de rattachement : DCSPH – Service des archives. </w:t>
      </w:r>
    </w:p>
    <w:p w14:paraId="6F2F3321" w14:textId="47580E66" w:rsidR="00DC685B" w:rsidRPr="0075371D" w:rsidRDefault="00DC685B" w:rsidP="004512D2">
      <w:pPr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Localisation : </w:t>
      </w:r>
    </w:p>
    <w:p w14:paraId="00C975E6" w14:textId="77777777" w:rsidR="00DC685B" w:rsidRPr="0075371D" w:rsidRDefault="00DC685B" w:rsidP="004512D2">
      <w:pPr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Faculté de Pharmacie, </w:t>
      </w:r>
    </w:p>
    <w:p w14:paraId="4BBCA43D" w14:textId="77777777" w:rsidR="00DC685B" w:rsidRPr="0075371D" w:rsidRDefault="00DC685B" w:rsidP="004512D2">
      <w:pPr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15 avenue Charles Flahault</w:t>
      </w:r>
    </w:p>
    <w:p w14:paraId="1EF58E08" w14:textId="413581A3" w:rsidR="00DC685B" w:rsidRPr="0075371D" w:rsidRDefault="00DC685B" w:rsidP="004512D2">
      <w:pPr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34090 Montpellier</w:t>
      </w:r>
    </w:p>
    <w:p w14:paraId="4D568DFD" w14:textId="77777777" w:rsidR="00DC685B" w:rsidRPr="0075371D" w:rsidRDefault="00DC685B" w:rsidP="004512D2">
      <w:p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Et</w:t>
      </w:r>
    </w:p>
    <w:p w14:paraId="0C920EE3" w14:textId="77777777" w:rsidR="00DC685B" w:rsidRPr="0075371D" w:rsidRDefault="00DC685B" w:rsidP="004512D2">
      <w:pPr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Institut de Botanique, </w:t>
      </w:r>
    </w:p>
    <w:p w14:paraId="5A51C420" w14:textId="77777777" w:rsidR="00DC685B" w:rsidRPr="0075371D" w:rsidRDefault="00DC685B" w:rsidP="004512D2">
      <w:pPr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163 rue Auguste Broussonnet</w:t>
      </w:r>
    </w:p>
    <w:p w14:paraId="483D9FDA" w14:textId="7F2A40D6" w:rsidR="000704F5" w:rsidRPr="0075371D" w:rsidRDefault="00DC685B" w:rsidP="004512D2">
      <w:pPr>
        <w:ind w:firstLine="708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34090 Montpellier</w:t>
      </w:r>
    </w:p>
    <w:p w14:paraId="5C407EBE" w14:textId="5CCF5F2B" w:rsidR="00DC685B" w:rsidRPr="0075371D" w:rsidRDefault="0075371D" w:rsidP="004512D2">
      <w:pPr>
        <w:jc w:val="both"/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ENVIRONNEMENT DE TRAVAIL</w:t>
      </w:r>
      <w:r w:rsidRPr="0075371D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:</w:t>
      </w:r>
    </w:p>
    <w:p w14:paraId="47F5BEDC" w14:textId="703557D8" w:rsidR="000704F5" w:rsidRPr="000704F5" w:rsidRDefault="00DC685B" w:rsidP="004512D2">
      <w:p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 stagiaire évoluera sous l’autorité</w:t>
      </w:r>
      <w:r w:rsid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de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la Directrice de la Culture Scientifique et du Patrimoine Historique, et sera tutoré par les archivistes du Service des archives.</w:t>
      </w:r>
      <w:r w:rsidR="00FD6A5A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Le conservateur du Droguier 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apportera</w:t>
      </w:r>
      <w:r w:rsid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quant à lui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l’éclairage scientifique nécessaire à l’appréhension du fonds.  </w:t>
      </w:r>
    </w:p>
    <w:p w14:paraId="05820B1B" w14:textId="53ACE29E" w:rsidR="00BB03D0" w:rsidRPr="0075371D" w:rsidRDefault="002A360D" w:rsidP="004512D2">
      <w:p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CONTEXTE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:</w:t>
      </w:r>
      <w:r w:rsidR="00054988"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</w:p>
    <w:p w14:paraId="7C2ADD31" w14:textId="6561BC44" w:rsidR="00CD4573" w:rsidRPr="0075371D" w:rsidRDefault="00054988" w:rsidP="004512D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Classé deuxième de France après celui de Paris, le Droguier de Montpellier témoigne d’une longue tradition médicale et pharmaceutique. Constitué </w:t>
      </w:r>
      <w:r w:rsidR="006E6D74" w:rsidRPr="0075371D">
        <w:rPr>
          <w:rFonts w:cstheme="minorHAnsi"/>
          <w:color w:val="000000"/>
          <w:sz w:val="24"/>
          <w:szCs w:val="24"/>
          <w:shd w:val="clear" w:color="auto" w:fill="FFFFFF"/>
        </w:rPr>
        <w:t>en 1588</w:t>
      </w: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 à la suite de la création du Jardin des plantes, il rassemble une collection rare : plus de 10 000 échantillons, essentiellement végétaux. Régulièrement enrichi, ce musée vivant constitue un outil précieux pour appréhender l’histoire des « drogues » (végétaux, minéraux, substances animales ayant une activité médicinale ou alimentaire) et la découverte de nouveaux médicaments. Aujourd’hui accueilli au sein de la Faculté de </w:t>
      </w:r>
      <w:r w:rsidR="00443333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>harmacie, le Droguier de Montpellier est inscrit au titre des Monuments Historiques depuis le 20 novembre 2009.</w:t>
      </w:r>
      <w:r w:rsidR="006E6D74"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4DCEF09" w14:textId="2606BFE1" w:rsidR="003A2C52" w:rsidRPr="0075371D" w:rsidRDefault="00CD4573" w:rsidP="004512D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Par ailleurs, </w:t>
      </w:r>
      <w:r w:rsidR="003A2C52" w:rsidRPr="0075371D">
        <w:rPr>
          <w:rFonts w:cstheme="minorHAnsi"/>
          <w:color w:val="000000"/>
          <w:sz w:val="24"/>
          <w:szCs w:val="24"/>
          <w:shd w:val="clear" w:color="auto" w:fill="FFFFFF"/>
        </w:rPr>
        <w:t>l’Université et la Métropole de Montpellier c</w:t>
      </w:r>
      <w:r w:rsidR="0025623D" w:rsidRPr="0075371D">
        <w:rPr>
          <w:rFonts w:cstheme="minorHAnsi"/>
          <w:color w:val="000000"/>
          <w:sz w:val="24"/>
          <w:szCs w:val="24"/>
          <w:shd w:val="clear" w:color="auto" w:fill="FFFFFF"/>
        </w:rPr>
        <w:t>opilotent la candidature</w:t>
      </w: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 au programme « Mémoire du monde » de l’UNESCO, </w:t>
      </w:r>
      <w:r w:rsidR="0025623D" w:rsidRPr="0075371D">
        <w:rPr>
          <w:rFonts w:cstheme="minorHAnsi"/>
          <w:color w:val="000000"/>
          <w:sz w:val="24"/>
          <w:szCs w:val="24"/>
          <w:shd w:val="clear" w:color="auto" w:fill="FFFFFF"/>
        </w:rPr>
        <w:t>des collections qui témoignent de l</w:t>
      </w: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>’enseignement de la</w:t>
      </w:r>
      <w:r w:rsidR="0025623D"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 médecine à travers les siècles</w:t>
      </w: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>. Aussi, l</w:t>
      </w:r>
      <w:r w:rsidR="0025623D"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es collections du Droguier pourraient </w:t>
      </w: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intégrer cette labélisation. </w:t>
      </w:r>
      <w:r w:rsidR="0025623D"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7174B94" w14:textId="3CBB1585" w:rsidR="0025623D" w:rsidRPr="0075371D" w:rsidRDefault="0025623D" w:rsidP="004512D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Dans ce contexte, 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le Droguier conserve un fonds d’archives (13.74 m.l) d’au moins trois chercheurs en ethnopharmacologie du XIXe et XXe siècle. </w:t>
      </w:r>
      <w:r w:rsidR="00A66E0B"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Ce fonds est voué à être conservé</w:t>
      </w:r>
      <w:r w:rsid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E76C3F" w:rsidRPr="0075371D">
        <w:rPr>
          <w:rFonts w:cstheme="minorHAnsi"/>
          <w:color w:val="1F1F1F"/>
          <w:sz w:val="24"/>
          <w:szCs w:val="24"/>
          <w:shd w:val="clear" w:color="auto" w:fill="FFFFFF"/>
        </w:rPr>
        <w:t>au sein du Droguier,</w:t>
      </w:r>
      <w:r w:rsidR="00CD4573" w:rsidRPr="0075371D">
        <w:rPr>
          <w:rFonts w:cstheme="minorHAnsi"/>
          <w:color w:val="1F1F1F"/>
          <w:sz w:val="24"/>
          <w:szCs w:val="24"/>
          <w:shd w:val="clear" w:color="auto" w:fill="FFFFFF"/>
        </w:rPr>
        <w:t xml:space="preserve"> à la suite de l’inscription au titre des Monuments Historiques</w:t>
      </w:r>
      <w:r w:rsidR="00E76C3F" w:rsidRPr="0075371D">
        <w:rPr>
          <w:rFonts w:cstheme="minorHAnsi"/>
          <w:color w:val="000000"/>
          <w:sz w:val="24"/>
          <w:szCs w:val="24"/>
          <w:shd w:val="clear" w:color="auto" w:fill="FFFFFF"/>
        </w:rPr>
        <w:t xml:space="preserve"> et nécessite donc d’être classé. </w:t>
      </w:r>
    </w:p>
    <w:p w14:paraId="253F8D0A" w14:textId="5C1AE727" w:rsidR="00CD4573" w:rsidRPr="000704F5" w:rsidRDefault="00DC685B" w:rsidP="004512D2">
      <w:pPr>
        <w:jc w:val="both"/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0704F5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PRESENTATION DU </w:t>
      </w:r>
      <w:r w:rsidR="000704F5" w:rsidRPr="000704F5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FF"/>
        </w:rPr>
        <w:t>STAGE</w:t>
      </w:r>
      <w:r w:rsidR="000704F5" w:rsidRPr="000704F5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 :</w:t>
      </w:r>
    </w:p>
    <w:p w14:paraId="1D9A99AA" w14:textId="13065F5C" w:rsidR="0025623D" w:rsidRPr="000704F5" w:rsidRDefault="00DC685B" w:rsidP="004512D2">
      <w:p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</w:t>
      </w:r>
      <w:r w:rsidR="0025623D"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stagiaire aura pour mission :</w:t>
      </w:r>
    </w:p>
    <w:p w14:paraId="7ABBC031" w14:textId="76850B95" w:rsidR="00A66E0B" w:rsidRPr="0075371D" w:rsidRDefault="0025623D" w:rsidP="004512D2">
      <w:pPr>
        <w:jc w:val="both"/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Mission principale</w:t>
      </w:r>
      <w:r w:rsidRPr="0075371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: 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Le classement du fonds du Droguier de la Faculté de Pharmacie </w:t>
      </w:r>
      <w:r w:rsidR="00125417"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(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récolement, sélection, tri, rédaction des éventuels bordereaux de demande d’élimination</w:t>
      </w:r>
      <w:r w:rsidR="00DC685B"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 et 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rédaction de l’instrument de recherche conformément aux normes en vigueur</w:t>
      </w:r>
      <w:r w:rsidR="00125417"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).</w:t>
      </w:r>
    </w:p>
    <w:p w14:paraId="3088DFAC" w14:textId="109859B1" w:rsidR="00A66E0B" w:rsidRPr="0075371D" w:rsidRDefault="0025623D" w:rsidP="004512D2">
      <w:pPr>
        <w:jc w:val="both"/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373737"/>
          <w:kern w:val="0"/>
          <w:sz w:val="24"/>
          <w:szCs w:val="24"/>
          <w:lang w:eastAsia="fr-FR"/>
          <w14:ligatures w14:val="none"/>
        </w:rPr>
        <w:t>Mission secondaire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 : </w:t>
      </w:r>
      <w:r w:rsidR="008F74FB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Le s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uivi des activités du </w:t>
      </w:r>
      <w:r w:rsidR="00DC685B"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S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ervice</w:t>
      </w:r>
      <w:r w:rsidR="00443333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 des archives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 en lien avec les archives courantes et intermédiaires de l’Université de Montpellier</w:t>
      </w:r>
      <w:r w:rsidR="008F74FB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. La p</w:t>
      </w:r>
      <w:r w:rsidR="000704F5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réparation du versement aux Archives Départementales de l’Hérault des dossiers de personnels de 1937 à 1942</w:t>
      </w:r>
      <w:r w:rsidR="008F74FB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3CA81C93" w14:textId="386373AA" w:rsidR="00A66E0B" w:rsidRPr="000704F5" w:rsidRDefault="00A66E0B" w:rsidP="004512D2">
      <w:pPr>
        <w:jc w:val="both"/>
        <w:rPr>
          <w:rFonts w:eastAsia="Times New Roman" w:cstheme="minorHAnsi"/>
          <w:b/>
          <w:bCs/>
          <w:color w:val="0070C0"/>
          <w:kern w:val="0"/>
          <w:sz w:val="24"/>
          <w:szCs w:val="24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lang w:eastAsia="fr-FR"/>
          <w14:ligatures w14:val="none"/>
        </w:rPr>
        <w:t>CONTRAINTES</w:t>
      </w:r>
      <w:r w:rsidRPr="000704F5">
        <w:rPr>
          <w:rFonts w:eastAsia="Times New Roman" w:cstheme="minorHAnsi"/>
          <w:b/>
          <w:bCs/>
          <w:color w:val="0070C0"/>
          <w:kern w:val="0"/>
          <w:sz w:val="24"/>
          <w:szCs w:val="24"/>
          <w:lang w:eastAsia="fr-FR"/>
          <w14:ligatures w14:val="none"/>
        </w:rPr>
        <w:t xml:space="preserve"> : </w:t>
      </w:r>
    </w:p>
    <w:p w14:paraId="24A3B0AF" w14:textId="59006C2C" w:rsidR="00A66E0B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Travailler à partir du désordre. </w:t>
      </w:r>
    </w:p>
    <w:p w14:paraId="45E2B779" w14:textId="0EBD04AF" w:rsidR="00A66E0B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Port de charges lourdes. </w:t>
      </w:r>
    </w:p>
    <w:p w14:paraId="1B09B3BF" w14:textId="1762368E" w:rsidR="00E76C3F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Travailler</w:t>
      </w:r>
      <w:r w:rsidR="00055C8A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dans la poussière.</w:t>
      </w:r>
    </w:p>
    <w:p w14:paraId="177FA2D7" w14:textId="6862E0D0" w:rsidR="00A66E0B" w:rsidRPr="000704F5" w:rsidRDefault="00A66E0B" w:rsidP="004512D2">
      <w:pPr>
        <w:jc w:val="both"/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PROFIL RECHERCHE</w:t>
      </w:r>
      <w:r w:rsidRPr="000704F5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 : </w:t>
      </w:r>
    </w:p>
    <w:p w14:paraId="38A6A5CD" w14:textId="4AB6DE31" w:rsidR="00125417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Étudiant en Master 2 Archives ou assimilé. </w:t>
      </w:r>
    </w:p>
    <w:p w14:paraId="6E04E9DB" w14:textId="0E8B8D92" w:rsidR="00125417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Conna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ître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s normes de description archivistique (ISAD-G). </w:t>
      </w:r>
    </w:p>
    <w:p w14:paraId="7762680C" w14:textId="76DDA509" w:rsidR="00125417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Conna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ître le 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cadre législatif et notamment 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s textes 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relatifs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au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traitement </w:t>
      </w:r>
      <w:r w:rsidR="00E76C3F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et</w:t>
      </w:r>
      <w:r w:rsidR="00125417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à</w:t>
      </w:r>
      <w:r w:rsidR="00E76C3F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la communication 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des archives</w:t>
      </w:r>
      <w:r w:rsidR="00E76C3F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.</w:t>
      </w:r>
    </w:p>
    <w:p w14:paraId="71CA58D3" w14:textId="5DD79492" w:rsidR="00125417" w:rsidRPr="000704F5" w:rsidRDefault="00A66E0B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Maîtrise des outils bureautiques</w:t>
      </w:r>
      <w:r w:rsidR="00055C8A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.</w:t>
      </w:r>
    </w:p>
    <w:p w14:paraId="7751A83D" w14:textId="161827DD" w:rsidR="00125417" w:rsidRPr="000704F5" w:rsidRDefault="00125417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Avoir des q</w:t>
      </w:r>
      <w:r w:rsidR="00A66E0B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ualités 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rédactionnelles, </w:t>
      </w:r>
      <w:r w:rsidR="00A66E0B"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d’analyse et de rigueur</w:t>
      </w: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.</w:t>
      </w:r>
    </w:p>
    <w:p w14:paraId="0F265C19" w14:textId="7B227538" w:rsidR="00125417" w:rsidRPr="000704F5" w:rsidRDefault="00E76C3F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Savoir travailler en équipe.</w:t>
      </w:r>
    </w:p>
    <w:p w14:paraId="1A93424B" w14:textId="41AE2873" w:rsidR="00054988" w:rsidRPr="000704F5" w:rsidRDefault="00125417" w:rsidP="004512D2">
      <w:pPr>
        <w:pStyle w:val="Paragraphedeliste"/>
        <w:numPr>
          <w:ilvl w:val="0"/>
          <w:numId w:val="9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0704F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Savoir être polyvalent, autonome et dynamique. </w:t>
      </w:r>
    </w:p>
    <w:p w14:paraId="5F12A524" w14:textId="515298AC" w:rsidR="00125417" w:rsidRPr="0075371D" w:rsidRDefault="00125417" w:rsidP="004512D2">
      <w:pPr>
        <w:jc w:val="both"/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0070C0"/>
          <w:kern w:val="0"/>
          <w:sz w:val="24"/>
          <w:szCs w:val="24"/>
          <w:u w:val="single"/>
          <w:lang w:eastAsia="fr-FR"/>
          <w14:ligatures w14:val="none"/>
        </w:rPr>
        <w:t>EN SAVOIR PLUS</w:t>
      </w:r>
      <w:r w:rsidRPr="000704F5">
        <w:rPr>
          <w:rFonts w:eastAsia="Times New Roman" w:cstheme="minorHAnsi"/>
          <w:color w:val="0070C0"/>
          <w:kern w:val="0"/>
          <w:sz w:val="24"/>
          <w:szCs w:val="24"/>
          <w:lang w:eastAsia="fr-FR"/>
          <w14:ligatures w14:val="none"/>
        </w:rPr>
        <w:t> 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: </w:t>
      </w:r>
    </w:p>
    <w:p w14:paraId="068D5E02" w14:textId="5D984195" w:rsidR="00125417" w:rsidRPr="0075371D" w:rsidRDefault="00125417" w:rsidP="004512D2">
      <w:pPr>
        <w:jc w:val="both"/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</w:pPr>
      <w:r w:rsidRPr="000704F5">
        <w:rPr>
          <w:rFonts w:eastAsia="Times New Roman" w:cstheme="minorHAnsi"/>
          <w:b/>
          <w:bCs/>
          <w:color w:val="373737"/>
          <w:kern w:val="0"/>
          <w:sz w:val="24"/>
          <w:szCs w:val="24"/>
          <w:u w:val="single"/>
          <w:lang w:eastAsia="fr-FR"/>
          <w14:ligatures w14:val="none"/>
        </w:rPr>
        <w:t>Clôture des</w:t>
      </w:r>
      <w:r w:rsidRPr="004512D2">
        <w:rPr>
          <w:rFonts w:eastAsia="Times New Roman" w:cstheme="minorHAnsi"/>
          <w:b/>
          <w:bCs/>
          <w:color w:val="373737"/>
          <w:kern w:val="0"/>
          <w:sz w:val="24"/>
          <w:szCs w:val="24"/>
          <w:u w:val="single"/>
          <w:lang w:eastAsia="fr-FR"/>
          <w14:ligatures w14:val="none"/>
        </w:rPr>
        <w:t xml:space="preserve"> candidatures</w:t>
      </w:r>
      <w:r w:rsidR="004512D2">
        <w:rPr>
          <w:rFonts w:eastAsia="Times New Roman" w:cstheme="minorHAnsi"/>
          <w:b/>
          <w:bCs/>
          <w:color w:val="373737"/>
          <w:kern w:val="0"/>
          <w:sz w:val="24"/>
          <w:szCs w:val="24"/>
          <w:lang w:eastAsia="fr-FR"/>
          <w14:ligatures w14:val="none"/>
        </w:rPr>
        <w:t xml:space="preserve"> </w:t>
      </w:r>
      <w:r w:rsidRPr="004512D2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le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 </w:t>
      </w:r>
      <w:r w:rsidR="004512D2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01/0</w:t>
      </w:r>
      <w:r w:rsidR="00A03BB8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3</w:t>
      </w:r>
      <w:r w:rsidR="004512D2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>/2024.</w:t>
      </w:r>
    </w:p>
    <w:p w14:paraId="312AC3A8" w14:textId="584D7F1E" w:rsidR="004512D2" w:rsidRPr="0075371D" w:rsidRDefault="00125417" w:rsidP="00443333">
      <w:pPr>
        <w:jc w:val="both"/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</w:pPr>
      <w:r w:rsidRPr="004512D2">
        <w:rPr>
          <w:rFonts w:eastAsia="Times New Roman" w:cstheme="minorHAnsi"/>
          <w:b/>
          <w:bCs/>
          <w:color w:val="373737"/>
          <w:kern w:val="0"/>
          <w:sz w:val="24"/>
          <w:szCs w:val="24"/>
          <w:u w:val="single"/>
          <w:lang w:eastAsia="fr-FR"/>
          <w14:ligatures w14:val="none"/>
        </w:rPr>
        <w:t>Contacts</w:t>
      </w:r>
      <w:r w:rsidRPr="004512D2">
        <w:rPr>
          <w:rFonts w:eastAsia="Times New Roman" w:cstheme="minorHAnsi"/>
          <w:color w:val="373737"/>
          <w:kern w:val="0"/>
          <w:sz w:val="24"/>
          <w:szCs w:val="24"/>
          <w:u w:val="single"/>
          <w:lang w:eastAsia="fr-FR"/>
          <w14:ligatures w14:val="none"/>
        </w:rPr>
        <w:t> </w:t>
      </w:r>
      <w:r w:rsidRPr="0075371D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: </w:t>
      </w:r>
      <w:r w:rsidR="00443333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 </w:t>
      </w:r>
      <w:hyperlink r:id="rId5" w:history="1">
        <w:r w:rsidR="00443333" w:rsidRPr="00640AC2">
          <w:rPr>
            <w:rStyle w:val="Lienhypertexte"/>
            <w:rFonts w:eastAsia="Times New Roman" w:cstheme="minorHAnsi"/>
            <w:kern w:val="0"/>
            <w:sz w:val="24"/>
            <w:szCs w:val="24"/>
            <w:lang w:eastAsia="fr-FR"/>
            <w14:ligatures w14:val="none"/>
          </w:rPr>
          <w:t>manon.guillermin@umontpellier.fr</w:t>
        </w:r>
      </w:hyperlink>
      <w:r w:rsidR="004512D2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  ou </w:t>
      </w:r>
      <w:hyperlink r:id="rId6" w:history="1">
        <w:r w:rsidR="004512D2" w:rsidRPr="00640AC2">
          <w:rPr>
            <w:rStyle w:val="Lienhypertexte"/>
            <w:rFonts w:eastAsia="Times New Roman" w:cstheme="minorHAnsi"/>
            <w:kern w:val="0"/>
            <w:sz w:val="24"/>
            <w:szCs w:val="24"/>
            <w:lang w:eastAsia="fr-FR"/>
            <w14:ligatures w14:val="none"/>
          </w:rPr>
          <w:t>bruno.pellicer@umontpellier.fr</w:t>
        </w:r>
      </w:hyperlink>
      <w:r w:rsidR="004512D2">
        <w:rPr>
          <w:rFonts w:eastAsia="Times New Roman" w:cstheme="minorHAnsi"/>
          <w:color w:val="373737"/>
          <w:kern w:val="0"/>
          <w:sz w:val="24"/>
          <w:szCs w:val="24"/>
          <w:lang w:eastAsia="fr-FR"/>
          <w14:ligatures w14:val="none"/>
        </w:rPr>
        <w:t xml:space="preserve"> </w:t>
      </w:r>
    </w:p>
    <w:sectPr w:rsidR="004512D2" w:rsidRPr="0075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6BA"/>
    <w:multiLevelType w:val="hybridMultilevel"/>
    <w:tmpl w:val="291C8D74"/>
    <w:lvl w:ilvl="0" w:tplc="6820F2EE">
      <w:numFmt w:val="bullet"/>
      <w:lvlText w:val="-"/>
      <w:lvlJc w:val="left"/>
      <w:pPr>
        <w:ind w:left="1080" w:hanging="360"/>
      </w:pPr>
      <w:rPr>
        <w:rFonts w:ascii="EB Garamond" w:eastAsia="Times New Roman" w:hAnsi="EB Garamond" w:cs="Times New Roman" w:hint="default"/>
        <w:color w:val="373737"/>
        <w:sz w:val="2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B758B"/>
    <w:multiLevelType w:val="hybridMultilevel"/>
    <w:tmpl w:val="8EDE76E2"/>
    <w:lvl w:ilvl="0" w:tplc="34D4F990">
      <w:start w:val="16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0535F"/>
    <w:multiLevelType w:val="hybridMultilevel"/>
    <w:tmpl w:val="DE18D062"/>
    <w:lvl w:ilvl="0" w:tplc="623CFB14">
      <w:start w:val="1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434"/>
    <w:multiLevelType w:val="hybridMultilevel"/>
    <w:tmpl w:val="709A682E"/>
    <w:lvl w:ilvl="0" w:tplc="6060DDFA">
      <w:start w:val="1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A5C0B"/>
    <w:multiLevelType w:val="hybridMultilevel"/>
    <w:tmpl w:val="E23CCBD8"/>
    <w:lvl w:ilvl="0" w:tplc="0A0475A0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C2E78"/>
    <w:multiLevelType w:val="hybridMultilevel"/>
    <w:tmpl w:val="FFA04C42"/>
    <w:lvl w:ilvl="0" w:tplc="8A4CFA5E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BB467B"/>
    <w:multiLevelType w:val="hybridMultilevel"/>
    <w:tmpl w:val="FBB853D0"/>
    <w:lvl w:ilvl="0" w:tplc="E4AE8566">
      <w:numFmt w:val="bullet"/>
      <w:lvlText w:val="-"/>
      <w:lvlJc w:val="left"/>
      <w:pPr>
        <w:ind w:left="720" w:hanging="360"/>
      </w:pPr>
      <w:rPr>
        <w:rFonts w:ascii="EB Garamond" w:eastAsia="Times New Roman" w:hAnsi="EB Garamond" w:cs="Times New Roman" w:hint="default"/>
        <w:b w:val="0"/>
        <w:color w:val="37373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0480C"/>
    <w:multiLevelType w:val="multilevel"/>
    <w:tmpl w:val="71227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A4C96"/>
    <w:multiLevelType w:val="hybridMultilevel"/>
    <w:tmpl w:val="C470B210"/>
    <w:lvl w:ilvl="0" w:tplc="8A4CFA5E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86230">
    <w:abstractNumId w:val="7"/>
  </w:num>
  <w:num w:numId="2" w16cid:durableId="329211276">
    <w:abstractNumId w:val="4"/>
  </w:num>
  <w:num w:numId="3" w16cid:durableId="795488613">
    <w:abstractNumId w:val="0"/>
  </w:num>
  <w:num w:numId="4" w16cid:durableId="1369065582">
    <w:abstractNumId w:val="6"/>
  </w:num>
  <w:num w:numId="5" w16cid:durableId="1853760322">
    <w:abstractNumId w:val="5"/>
  </w:num>
  <w:num w:numId="6" w16cid:durableId="513693983">
    <w:abstractNumId w:val="2"/>
  </w:num>
  <w:num w:numId="7" w16cid:durableId="217325233">
    <w:abstractNumId w:val="1"/>
  </w:num>
  <w:num w:numId="8" w16cid:durableId="1277904983">
    <w:abstractNumId w:val="8"/>
  </w:num>
  <w:num w:numId="9" w16cid:durableId="92479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0D"/>
    <w:rsid w:val="00054988"/>
    <w:rsid w:val="00055C8A"/>
    <w:rsid w:val="000704F5"/>
    <w:rsid w:val="00125417"/>
    <w:rsid w:val="00157507"/>
    <w:rsid w:val="0025623D"/>
    <w:rsid w:val="002A360D"/>
    <w:rsid w:val="003A2C52"/>
    <w:rsid w:val="00443333"/>
    <w:rsid w:val="004512D2"/>
    <w:rsid w:val="005060BF"/>
    <w:rsid w:val="00520BEE"/>
    <w:rsid w:val="00633AEF"/>
    <w:rsid w:val="006E6D74"/>
    <w:rsid w:val="0075371D"/>
    <w:rsid w:val="008224D2"/>
    <w:rsid w:val="00885251"/>
    <w:rsid w:val="008F74FB"/>
    <w:rsid w:val="00A0314C"/>
    <w:rsid w:val="00A03BB8"/>
    <w:rsid w:val="00A66E0B"/>
    <w:rsid w:val="00B2720F"/>
    <w:rsid w:val="00BB03D0"/>
    <w:rsid w:val="00BD6597"/>
    <w:rsid w:val="00CB3FEA"/>
    <w:rsid w:val="00CD4573"/>
    <w:rsid w:val="00D87716"/>
    <w:rsid w:val="00DC685B"/>
    <w:rsid w:val="00E76C3F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D3E"/>
  <w15:chartTrackingRefBased/>
  <w15:docId w15:val="{1408DEC3-9920-47E8-83C8-C3B5C0D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A36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A360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0B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57507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5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no.pellicer@umontpellier.fr" TargetMode="External"/><Relationship Id="rId5" Type="http://schemas.openxmlformats.org/officeDocument/2006/relationships/hyperlink" Target="mailto:manon.guillermin@umontpelli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Guillermin</dc:creator>
  <cp:keywords/>
  <dc:description/>
  <cp:lastModifiedBy>Manon Guillermin</cp:lastModifiedBy>
  <cp:revision>11</cp:revision>
  <dcterms:created xsi:type="dcterms:W3CDTF">2024-01-23T13:17:00Z</dcterms:created>
  <dcterms:modified xsi:type="dcterms:W3CDTF">2024-02-06T15:41:00Z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264423317</vt:i4>
  </property>
</Properties>
</file>