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pPr>
      <w:r>
        <w:rPr/>
      </w:r>
    </w:p>
    <w:tbl>
      <w:tblPr>
        <w:tblW w:w="901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015"/>
      </w:tblGrid>
      <w:tr>
        <w:trPr/>
        <w:tc>
          <w:tcPr>
            <w:tcW w:w="9015" w:type="dxa"/>
            <w:tcBorders>
              <w:top w:val="single" w:sz="2" w:space="0" w:color="000000"/>
              <w:left w:val="single" w:sz="2" w:space="0" w:color="000000"/>
              <w:bottom w:val="single" w:sz="2" w:space="0" w:color="000000"/>
              <w:right w:val="single" w:sz="2" w:space="0" w:color="000000"/>
            </w:tcBorders>
            <w:shd w:color="auto" w:fill="auto" w:val="clear"/>
          </w:tcPr>
          <w:p>
            <w:pPr>
              <w:pStyle w:val="TEXTEFIXE"/>
              <w:jc w:val="center"/>
              <w:rPr>
                <w:color w:val="002060"/>
                <w:sz w:val="28"/>
                <w:szCs w:val="28"/>
              </w:rPr>
            </w:pPr>
            <w:r>
              <w:rPr>
                <w:color w:val="002060"/>
                <w:sz w:val="28"/>
                <w:szCs w:val="28"/>
              </w:rPr>
              <w:t>OFFRE D’APPRENTISSAGE</w:t>
            </w:r>
          </w:p>
        </w:tc>
      </w:tr>
    </w:tbl>
    <w:p>
      <w:pPr>
        <w:pStyle w:val="Textbody"/>
        <w:jc w:val="center"/>
        <w:rPr>
          <w:b/>
          <w:bCs/>
          <w:color w:val="002060"/>
          <w:sz w:val="20"/>
          <w:szCs w:val="20"/>
        </w:rPr>
      </w:pPr>
      <w:r>
        <w:rPr>
          <w:b/>
          <w:bCs/>
          <w:color w:val="002060"/>
          <w:sz w:val="20"/>
          <w:szCs w:val="20"/>
        </w:rPr>
      </w:r>
    </w:p>
    <w:p>
      <w:pPr>
        <w:pStyle w:val="Textbody"/>
        <w:jc w:val="center"/>
        <w:rPr>
          <w:b/>
          <w:bCs/>
          <w:color w:val="002060"/>
          <w:sz w:val="20"/>
          <w:szCs w:val="20"/>
        </w:rPr>
      </w:pPr>
      <w:r>
        <w:rPr>
          <w:b/>
          <w:bCs/>
          <w:color w:val="002060"/>
          <w:sz w:val="20"/>
          <w:szCs w:val="20"/>
        </w:rPr>
        <w:t>Date limite de candidature : vendredi 05 juillet 2024</w:t>
      </w:r>
    </w:p>
    <w:p>
      <w:pPr>
        <w:pStyle w:val="Textbody"/>
        <w:jc w:val="center"/>
        <w:rPr>
          <w:rFonts w:ascii="Arial" w:hAnsi="Arial"/>
          <w:b/>
          <w:bCs/>
          <w:color w:val="002060"/>
          <w:sz w:val="20"/>
          <w:szCs w:val="20"/>
        </w:rPr>
      </w:pPr>
      <w:r>
        <w:rPr>
          <w:rFonts w:ascii="Arial" w:hAnsi="Arial"/>
          <w:b/>
          <w:bCs/>
          <w:color w:val="002060"/>
          <w:sz w:val="20"/>
          <w:szCs w:val="20"/>
        </w:rPr>
        <w:t>Date de début du contrat : automne 2024</w:t>
      </w:r>
      <w:bookmarkStart w:id="0" w:name="_GoBack"/>
      <w:bookmarkEnd w:id="0"/>
    </w:p>
    <w:p>
      <w:pPr>
        <w:pStyle w:val="TEXTEFIXE"/>
        <w:rPr>
          <w:color w:val="002060"/>
          <w:sz w:val="20"/>
        </w:rPr>
      </w:pPr>
      <w:r>
        <w:rPr>
          <w:color w:val="002060"/>
          <w:sz w:val="20"/>
        </w:rPr>
      </w:r>
    </w:p>
    <w:tbl>
      <w:tblPr>
        <w:tblW w:w="9013"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500"/>
        <w:gridCol w:w="6512"/>
      </w:tblGrid>
      <w:tr>
        <w:trPr/>
        <w:tc>
          <w:tcPr>
            <w:tcW w:w="9012" w:type="dxa"/>
            <w:gridSpan w:val="2"/>
            <w:tcBorders/>
            <w:shd w:color="auto" w:fill="auto" w:val="clear"/>
          </w:tcPr>
          <w:p>
            <w:pPr>
              <w:pStyle w:val="TEXTEFIXE"/>
              <w:rPr/>
            </w:pPr>
            <w:r>
              <w:rPr>
                <w:bCs/>
                <w:color w:val="002060"/>
                <w:sz w:val="20"/>
              </w:rPr>
              <w:t>Intitulé du poste : Alternance à la mission archives pour l’année scolaire 2024—2025</w:t>
            </w:r>
          </w:p>
        </w:tc>
      </w:tr>
      <w:tr>
        <w:trPr/>
        <w:tc>
          <w:tcPr>
            <w:tcW w:w="2500" w:type="dxa"/>
            <w:tcBorders/>
            <w:shd w:color="auto" w:fill="auto" w:val="clear"/>
          </w:tcPr>
          <w:p>
            <w:pPr>
              <w:pStyle w:val="TEXTEFIXE"/>
              <w:rPr>
                <w:color w:val="002060"/>
                <w:sz w:val="20"/>
              </w:rPr>
            </w:pPr>
            <w:r>
              <w:rPr>
                <w:color w:val="002060"/>
                <w:sz w:val="20"/>
              </w:rPr>
            </w:r>
          </w:p>
        </w:tc>
        <w:tc>
          <w:tcPr>
            <w:tcW w:w="6512" w:type="dxa"/>
            <w:tcBorders/>
            <w:shd w:color="auto" w:fill="auto" w:val="clear"/>
          </w:tcPr>
          <w:p>
            <w:pPr>
              <w:pStyle w:val="TEXTEFIXE"/>
              <w:jc w:val="both"/>
              <w:rPr>
                <w:b w:val="false"/>
                <w:color w:val="002060"/>
                <w:sz w:val="20"/>
              </w:rPr>
            </w:pPr>
            <w:r>
              <w:rPr>
                <w:b w:val="false"/>
                <w:color w:val="002060"/>
                <w:sz w:val="20"/>
              </w:rPr>
            </w:r>
          </w:p>
        </w:tc>
      </w:tr>
      <w:tr>
        <w:trPr/>
        <w:tc>
          <w:tcPr>
            <w:tcW w:w="2500" w:type="dxa"/>
            <w:tcBorders/>
            <w:shd w:color="auto" w:fill="auto" w:val="clear"/>
            <w:vAlign w:val="center"/>
          </w:tcPr>
          <w:p>
            <w:pPr>
              <w:pStyle w:val="TEXTEFIXE"/>
              <w:rPr>
                <w:color w:val="002060"/>
                <w:sz w:val="20"/>
              </w:rPr>
            </w:pPr>
            <w:r>
              <w:rPr>
                <w:color w:val="002060"/>
                <w:sz w:val="20"/>
              </w:rPr>
              <w:t>Métier/famille de métier</w:t>
            </w:r>
          </w:p>
        </w:tc>
        <w:tc>
          <w:tcPr>
            <w:tcW w:w="65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EFIXE"/>
              <w:jc w:val="both"/>
              <w:rPr>
                <w:b w:val="false"/>
                <w:color w:val="002060"/>
                <w:sz w:val="20"/>
              </w:rPr>
            </w:pPr>
            <w:r>
              <w:rPr>
                <w:b w:val="false"/>
                <w:color w:val="002060"/>
                <w:sz w:val="20"/>
              </w:rPr>
              <w:t>Métier des archives</w:t>
            </w:r>
          </w:p>
        </w:tc>
      </w:tr>
      <w:tr>
        <w:trPr/>
        <w:tc>
          <w:tcPr>
            <w:tcW w:w="2500" w:type="dxa"/>
            <w:tcBorders/>
            <w:shd w:color="auto" w:fill="auto" w:val="clear"/>
            <w:vAlign w:val="center"/>
          </w:tcPr>
          <w:p>
            <w:pPr>
              <w:pStyle w:val="TEXTEFIXE"/>
              <w:rPr>
                <w:color w:val="002060"/>
                <w:sz w:val="20"/>
              </w:rPr>
            </w:pPr>
            <w:r>
              <w:rPr>
                <w:color w:val="002060"/>
                <w:sz w:val="20"/>
              </w:rPr>
              <w:t>Diplôme requis</w:t>
            </w:r>
          </w:p>
        </w:tc>
        <w:tc>
          <w:tcPr>
            <w:tcW w:w="6512" w:type="dxa"/>
            <w:tcBorders>
              <w:left w:val="single" w:sz="2" w:space="0" w:color="000000"/>
              <w:bottom w:val="single" w:sz="2" w:space="0" w:color="000000"/>
              <w:right w:val="single" w:sz="2" w:space="0" w:color="000000"/>
            </w:tcBorders>
            <w:shd w:color="auto" w:fill="auto" w:val="clear"/>
            <w:vAlign w:val="center"/>
          </w:tcPr>
          <w:p>
            <w:pPr>
              <w:pStyle w:val="TEXTEFIXE"/>
              <w:jc w:val="both"/>
              <w:rPr>
                <w:b w:val="false"/>
                <w:color w:val="002060"/>
                <w:sz w:val="20"/>
              </w:rPr>
            </w:pPr>
            <w:r>
              <w:rPr>
                <w:b w:val="false"/>
                <w:color w:val="002060"/>
                <w:sz w:val="20"/>
              </w:rPr>
              <w:t>Bac + 4 en archivistique, archives numériques ou gestion de l’information</w:t>
            </w:r>
          </w:p>
        </w:tc>
      </w:tr>
      <w:tr>
        <w:trPr/>
        <w:tc>
          <w:tcPr>
            <w:tcW w:w="2500" w:type="dxa"/>
            <w:tcBorders/>
            <w:shd w:color="auto" w:fill="auto" w:val="clear"/>
            <w:vAlign w:val="center"/>
          </w:tcPr>
          <w:p>
            <w:pPr>
              <w:pStyle w:val="TEXTEFIXE"/>
              <w:rPr>
                <w:color w:val="002060"/>
                <w:sz w:val="20"/>
              </w:rPr>
            </w:pPr>
            <w:r>
              <w:rPr>
                <w:color w:val="002060"/>
                <w:sz w:val="20"/>
              </w:rPr>
              <w:t>Diplôme préparé</w:t>
            </w:r>
          </w:p>
        </w:tc>
        <w:tc>
          <w:tcPr>
            <w:tcW w:w="6512" w:type="dxa"/>
            <w:tcBorders>
              <w:left w:val="single" w:sz="2" w:space="0" w:color="000000"/>
              <w:bottom w:val="single" w:sz="2" w:space="0" w:color="000000"/>
              <w:right w:val="single" w:sz="2" w:space="0" w:color="000000"/>
            </w:tcBorders>
            <w:shd w:color="auto" w:fill="auto" w:val="clear"/>
            <w:vAlign w:val="center"/>
          </w:tcPr>
          <w:p>
            <w:pPr>
              <w:pStyle w:val="TEXTEFIXE"/>
              <w:jc w:val="both"/>
              <w:rPr>
                <w:b w:val="false"/>
                <w:color w:val="002060"/>
                <w:sz w:val="20"/>
              </w:rPr>
            </w:pPr>
            <w:r>
              <w:rPr>
                <w:b w:val="false"/>
                <w:color w:val="002060"/>
                <w:sz w:val="20"/>
              </w:rPr>
              <w:t>Bac + 5 en archivistique ou archives numériques</w:t>
            </w:r>
          </w:p>
        </w:tc>
      </w:tr>
      <w:tr>
        <w:trPr/>
        <w:tc>
          <w:tcPr>
            <w:tcW w:w="2500" w:type="dxa"/>
            <w:tcBorders/>
            <w:shd w:color="auto" w:fill="auto" w:val="clear"/>
            <w:vAlign w:val="center"/>
          </w:tcPr>
          <w:p>
            <w:pPr>
              <w:pStyle w:val="TEXTEFIXE"/>
              <w:rPr>
                <w:color w:val="002060"/>
                <w:sz w:val="20"/>
              </w:rPr>
            </w:pPr>
            <w:r>
              <w:rPr>
                <w:color w:val="002060"/>
                <w:sz w:val="20"/>
              </w:rPr>
            </w:r>
          </w:p>
        </w:tc>
        <w:tc>
          <w:tcPr>
            <w:tcW w:w="6512" w:type="dxa"/>
            <w:tcBorders/>
            <w:shd w:color="auto" w:fill="auto" w:val="clear"/>
            <w:vAlign w:val="center"/>
          </w:tcPr>
          <w:p>
            <w:pPr>
              <w:pStyle w:val="TEXTEFIXE"/>
              <w:jc w:val="both"/>
              <w:rPr>
                <w:b w:val="false"/>
                <w:color w:val="002060"/>
                <w:sz w:val="20"/>
              </w:rPr>
            </w:pPr>
            <w:r>
              <w:rPr>
                <w:b w:val="false"/>
                <w:color w:val="002060"/>
                <w:sz w:val="20"/>
              </w:rPr>
            </w:r>
          </w:p>
        </w:tc>
      </w:tr>
      <w:tr>
        <w:trPr/>
        <w:tc>
          <w:tcPr>
            <w:tcW w:w="2500" w:type="dxa"/>
            <w:tcBorders/>
            <w:shd w:color="auto" w:fill="auto" w:val="clear"/>
            <w:vAlign w:val="center"/>
          </w:tcPr>
          <w:p>
            <w:pPr>
              <w:pStyle w:val="TEXTEFIXE"/>
              <w:rPr>
                <w:color w:val="002060"/>
                <w:sz w:val="20"/>
              </w:rPr>
            </w:pPr>
            <w:r>
              <w:rPr>
                <w:color w:val="002060"/>
                <w:sz w:val="20"/>
              </w:rPr>
              <w:t>Direction/Service</w:t>
            </w:r>
          </w:p>
        </w:tc>
        <w:tc>
          <w:tcPr>
            <w:tcW w:w="65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EFIXE"/>
              <w:jc w:val="both"/>
              <w:rPr>
                <w:b w:val="false"/>
                <w:color w:val="002060"/>
                <w:sz w:val="20"/>
              </w:rPr>
            </w:pPr>
            <w:r>
              <w:rPr>
                <w:b w:val="false"/>
                <w:color w:val="002060"/>
                <w:sz w:val="20"/>
              </w:rPr>
              <w:t>Direction de la stratégie et de la communication / Direction de la diffusion des connaissances / Pôle Gestion de la connaissance</w:t>
            </w:r>
          </w:p>
        </w:tc>
      </w:tr>
      <w:tr>
        <w:trPr/>
        <w:tc>
          <w:tcPr>
            <w:tcW w:w="2500" w:type="dxa"/>
            <w:tcBorders/>
            <w:shd w:color="auto" w:fill="auto" w:val="clear"/>
            <w:vAlign w:val="center"/>
          </w:tcPr>
          <w:p>
            <w:pPr>
              <w:pStyle w:val="TEXTEFIXE"/>
              <w:rPr>
                <w:color w:val="002060"/>
                <w:sz w:val="20"/>
              </w:rPr>
            </w:pPr>
            <w:r>
              <w:rPr>
                <w:color w:val="002060"/>
                <w:sz w:val="20"/>
              </w:rPr>
              <w:t>Localisation</w:t>
            </w:r>
          </w:p>
        </w:tc>
        <w:tc>
          <w:tcPr>
            <w:tcW w:w="6512" w:type="dxa"/>
            <w:tcBorders>
              <w:left w:val="single" w:sz="2" w:space="0" w:color="000000"/>
              <w:bottom w:val="single" w:sz="2" w:space="0" w:color="000000"/>
              <w:right w:val="single" w:sz="2" w:space="0" w:color="000000"/>
            </w:tcBorders>
            <w:shd w:color="auto" w:fill="auto" w:val="clear"/>
            <w:vAlign w:val="center"/>
          </w:tcPr>
          <w:p>
            <w:pPr>
              <w:pStyle w:val="Normal"/>
              <w:jc w:val="left"/>
              <w:rPr>
                <w:rFonts w:ascii="Arial" w:hAnsi="Arial"/>
                <w:i/>
                <w:i/>
                <w:iCs/>
                <w:color w:val="002060"/>
                <w:sz w:val="20"/>
                <w:szCs w:val="20"/>
              </w:rPr>
            </w:pPr>
            <w:r>
              <w:rPr>
                <w:rFonts w:ascii="Arial" w:hAnsi="Arial"/>
                <w:i/>
                <w:iCs/>
                <w:color w:val="002060"/>
                <w:sz w:val="20"/>
                <w:szCs w:val="20"/>
              </w:rPr>
              <w:t>2, rue Antoine CHARIAL, 69003 LYON</w:t>
            </w:r>
          </w:p>
        </w:tc>
      </w:tr>
    </w:tbl>
    <w:p>
      <w:pPr>
        <w:pStyle w:val="Standard"/>
        <w:jc w:val="both"/>
        <w:rPr>
          <w:b/>
          <w:bCs/>
          <w:color w:val="002060"/>
          <w:sz w:val="20"/>
          <w:szCs w:val="20"/>
        </w:rPr>
      </w:pPr>
      <w:r>
        <w:rPr>
          <w:b/>
          <w:bCs/>
          <w:color w:val="002060"/>
          <w:sz w:val="20"/>
          <w:szCs w:val="20"/>
        </w:rPr>
      </w:r>
    </w:p>
    <w:p>
      <w:pPr>
        <w:pStyle w:val="TEXTEFIXE"/>
        <w:tabs>
          <w:tab w:val="left" w:pos="720" w:leader="none"/>
        </w:tabs>
        <w:jc w:val="center"/>
        <w:rPr>
          <w:bCs/>
          <w:color w:val="002060"/>
          <w:sz w:val="20"/>
        </w:rPr>
      </w:pPr>
      <w:r>
        <w:rPr>
          <w:bCs/>
          <w:color w:val="002060"/>
          <w:sz w:val="20"/>
        </w:rPr>
      </w:r>
    </w:p>
    <w:p>
      <w:pPr>
        <w:pStyle w:val="TEXTEFIXE"/>
        <w:jc w:val="both"/>
        <w:rPr>
          <w:bCs/>
          <w:color w:val="002060"/>
          <w:sz w:val="20"/>
        </w:rPr>
      </w:pPr>
      <w:r>
        <w:rPr>
          <w:bCs/>
          <w:color w:val="002060"/>
          <w:sz w:val="20"/>
        </w:rPr>
        <w:t>Descriptif de l’employeur :</w:t>
      </w:r>
    </w:p>
    <w:p>
      <w:pPr>
        <w:pStyle w:val="TEXTEFIXE"/>
        <w:jc w:val="both"/>
        <w:rPr>
          <w:bCs/>
          <w:color w:val="002060"/>
          <w:sz w:val="20"/>
        </w:rPr>
      </w:pPr>
      <w:r>
        <w:rPr>
          <w:bCs/>
          <w:color w:val="002060"/>
          <w:sz w:val="20"/>
        </w:rPr>
      </w:r>
    </w:p>
    <w:p>
      <w:pPr>
        <w:pStyle w:val="Standard"/>
        <w:widowControl/>
        <w:spacing w:before="57" w:after="57"/>
        <w:jc w:val="both"/>
        <w:rPr>
          <w:rFonts w:cs="Arial"/>
          <w:color w:val="002060"/>
          <w:sz w:val="20"/>
          <w:szCs w:val="20"/>
          <w:lang w:bidi="ar-SA"/>
        </w:rPr>
      </w:pPr>
      <w:r>
        <w:rPr>
          <w:rFonts w:cs="Arial"/>
          <w:color w:val="002060"/>
          <w:sz w:val="20"/>
          <w:szCs w:val="20"/>
          <w:lang w:bidi="ar-SA"/>
        </w:rPr>
        <w:t>Le Cerema est l’établissement de référence dans les domaines de l’expertise et de l’ingénierie publique pour accompagner les territoires dans leurs missions d’adaptation aux changements climatiques. Il assiste l'État, les collectivités territoriales et les entreprises pour les conduire vers une stratégie d'aménagement durable et des mobilités adaptées aux enjeux écologiques. Le Cerema offre des solutions adaptées et uniques selon les territoires.</w:t>
      </w:r>
    </w:p>
    <w:p>
      <w:pPr>
        <w:pStyle w:val="Textbody"/>
        <w:widowControl/>
        <w:spacing w:lineRule="auto" w:line="249"/>
        <w:jc w:val="both"/>
        <w:rPr/>
      </w:pPr>
      <w:r>
        <w:rPr>
          <w:rFonts w:cs="Arial" w:ascii="Arial, sans-serif" w:hAnsi="Arial, sans-serif"/>
          <w:color w:val="002060"/>
          <w:sz w:val="20"/>
          <w:szCs w:val="20"/>
          <w:lang w:bidi="ar-SA"/>
        </w:rPr>
        <w:t>Centre de ressources de référence, il éclaire les choix des décideurs publics et les accompagne dans la mise en œuvre de leurs projets de développement. Présent sur l’ensemble du territoire national avec plus de 2 400 agents, le Cerema a engagé un plan ambitieux de transformation afin de devenir l’opérateur de référence des collectivités locales et des entreprises. Cette mutation se traduit par une accentuation de la valorisation de ses expertises. Pour cela, il a fortement renouvelé son organisation et son mode de fonctionnement. Parallèlement, le Cerema s’est recentré sur son cœur de métier et oriente ses activités et prestations vers les besoins réels de ses partenaires.</w:t>
      </w:r>
    </w:p>
    <w:p>
      <w:pPr>
        <w:pStyle w:val="TEXTEFIXE"/>
        <w:jc w:val="both"/>
        <w:rPr>
          <w:rFonts w:eastAsia="LiberationSansNarrow" w:cs="LiberationSansNarrow"/>
          <w:bCs/>
          <w:color w:val="002060"/>
          <w:sz w:val="20"/>
        </w:rPr>
      </w:pPr>
      <w:r>
        <w:rPr>
          <w:rFonts w:eastAsia="LiberationSansNarrow" w:cs="LiberationSansNarrow"/>
          <w:bCs/>
          <w:color w:val="002060"/>
          <w:sz w:val="20"/>
        </w:rPr>
      </w:r>
    </w:p>
    <w:p>
      <w:pPr>
        <w:pStyle w:val="TEXTEFIXE"/>
        <w:jc w:val="both"/>
        <w:rPr>
          <w:color w:val="002060"/>
          <w:sz w:val="20"/>
          <w:szCs w:val="20"/>
          <w:highlight w:val="none"/>
        </w:rPr>
      </w:pPr>
      <w:r>
        <w:rPr>
          <w:bCs/>
          <w:color w:val="002060"/>
          <w:sz w:val="20"/>
        </w:rPr>
        <w:t>Descriptif de l’offre :</w:t>
      </w:r>
    </w:p>
    <w:p>
      <w:pPr>
        <w:pStyle w:val="TEXTEFIXE"/>
        <w:jc w:val="both"/>
        <w:rPr>
          <w:color w:val="002060"/>
          <w:sz w:val="20"/>
          <w:szCs w:val="20"/>
        </w:rPr>
      </w:pPr>
      <w:r>
        <w:rPr>
          <w:color w:val="002060"/>
          <w:sz w:val="20"/>
          <w:szCs w:val="20"/>
        </w:rPr>
      </w:r>
    </w:p>
    <w:p>
      <w:pPr>
        <w:pStyle w:val="TEXTEFIXE"/>
        <w:numPr>
          <w:ilvl w:val="0"/>
          <w:numId w:val="1"/>
        </w:numPr>
        <w:jc w:val="both"/>
        <w:rPr>
          <w:b w:val="false"/>
          <w:bCs w:val="false"/>
          <w:color w:val="002060"/>
          <w:sz w:val="20"/>
          <w:szCs w:val="20"/>
        </w:rPr>
      </w:pPr>
      <w:r>
        <w:rPr>
          <w:b w:val="false"/>
          <w:bCs w:val="false"/>
          <w:color w:val="002060"/>
          <w:sz w:val="20"/>
        </w:rPr>
        <w:t xml:space="preserve">Archivage électronique : </w:t>
      </w:r>
    </w:p>
    <w:p>
      <w:pPr>
        <w:pStyle w:val="TEXTEFIXE"/>
        <w:numPr>
          <w:ilvl w:val="1"/>
          <w:numId w:val="1"/>
        </w:numPr>
        <w:jc w:val="both"/>
        <w:rPr>
          <w:b w:val="false"/>
          <w:bCs w:val="false"/>
          <w:color w:val="002060"/>
          <w:sz w:val="20"/>
          <w:szCs w:val="20"/>
        </w:rPr>
      </w:pPr>
      <w:r>
        <w:rPr>
          <w:b w:val="false"/>
          <w:bCs w:val="false"/>
          <w:color w:val="002060"/>
          <w:sz w:val="20"/>
        </w:rPr>
        <w:t xml:space="preserve">A partir des tableaux de gestion, reprise d’un arriéré bureautique de l’établissement : </w:t>
      </w:r>
    </w:p>
    <w:p>
      <w:pPr>
        <w:pStyle w:val="TEXTEFIXE"/>
        <w:numPr>
          <w:ilvl w:val="2"/>
          <w:numId w:val="1"/>
        </w:numPr>
        <w:jc w:val="both"/>
        <w:rPr>
          <w:b w:val="false"/>
          <w:bCs w:val="false"/>
          <w:color w:val="002060"/>
          <w:sz w:val="20"/>
          <w:szCs w:val="20"/>
        </w:rPr>
      </w:pPr>
      <w:r>
        <w:rPr>
          <w:b w:val="false"/>
          <w:bCs w:val="false"/>
          <w:color w:val="002060"/>
          <w:sz w:val="20"/>
        </w:rPr>
        <w:t>Préparation des paquets d’archives électronique</w:t>
      </w:r>
      <w:r>
        <w:rPr>
          <w:b w:val="false"/>
          <w:bCs w:val="false"/>
          <w:color w:val="002060"/>
          <w:sz w:val="20"/>
        </w:rPr>
        <w:t>s</w:t>
      </w:r>
      <w:r>
        <w:rPr>
          <w:b w:val="false"/>
          <w:bCs w:val="false"/>
          <w:color w:val="002060"/>
          <w:sz w:val="20"/>
        </w:rPr>
        <w:t xml:space="preserve"> à verser dans le système d’archivage électronique</w:t>
      </w:r>
    </w:p>
    <w:p>
      <w:pPr>
        <w:pStyle w:val="TEXTEFIXE"/>
        <w:numPr>
          <w:ilvl w:val="2"/>
          <w:numId w:val="1"/>
        </w:numPr>
        <w:jc w:val="both"/>
        <w:rPr>
          <w:b w:val="false"/>
          <w:bCs w:val="false"/>
          <w:color w:val="002060"/>
          <w:sz w:val="20"/>
          <w:szCs w:val="20"/>
        </w:rPr>
      </w:pPr>
      <w:r>
        <w:rPr>
          <w:b w:val="false"/>
          <w:bCs w:val="false"/>
          <w:color w:val="002060"/>
          <w:sz w:val="20"/>
        </w:rPr>
        <w:t>Rédaction de bordereaux d’élimination des archives électroniques et suivi de leur destruction avec la direction des systèmes d’information</w:t>
      </w:r>
    </w:p>
    <w:p>
      <w:pPr>
        <w:pStyle w:val="TEXTEFIXE"/>
        <w:numPr>
          <w:ilvl w:val="2"/>
          <w:numId w:val="1"/>
        </w:numPr>
        <w:jc w:val="both"/>
        <w:rPr>
          <w:b w:val="false"/>
          <w:bCs w:val="false"/>
          <w:color w:val="002060"/>
          <w:sz w:val="20"/>
          <w:szCs w:val="20"/>
        </w:rPr>
      </w:pPr>
      <w:r>
        <w:rPr>
          <w:b w:val="false"/>
          <w:bCs w:val="false"/>
          <w:color w:val="002060"/>
          <w:sz w:val="20"/>
        </w:rPr>
        <w:t xml:space="preserve">Suivi du contrôle scientifique et technique avec la référente du Cerema aux Archives départementales </w:t>
      </w:r>
    </w:p>
    <w:p>
      <w:pPr>
        <w:pStyle w:val="TEXTEFIXE"/>
        <w:numPr>
          <w:ilvl w:val="2"/>
          <w:numId w:val="1"/>
        </w:numPr>
        <w:jc w:val="both"/>
        <w:rPr>
          <w:b w:val="false"/>
          <w:bCs w:val="false"/>
          <w:color w:val="002060"/>
          <w:sz w:val="20"/>
          <w:szCs w:val="20"/>
        </w:rPr>
      </w:pPr>
      <w:r>
        <w:rPr>
          <w:b w:val="false"/>
          <w:bCs w:val="false"/>
          <w:color w:val="002060"/>
          <w:sz w:val="20"/>
        </w:rPr>
        <w:t>Accompagner la direction de production des arriérés</w:t>
      </w:r>
    </w:p>
    <w:p>
      <w:pPr>
        <w:pStyle w:val="TEXTEFIXE"/>
        <w:numPr>
          <w:ilvl w:val="1"/>
          <w:numId w:val="1"/>
        </w:numPr>
        <w:jc w:val="both"/>
        <w:rPr>
          <w:b w:val="false"/>
          <w:bCs w:val="false"/>
          <w:color w:val="002060"/>
          <w:sz w:val="20"/>
          <w:szCs w:val="20"/>
        </w:rPr>
      </w:pPr>
      <w:r>
        <w:rPr>
          <w:b w:val="false"/>
          <w:bCs w:val="false"/>
          <w:color w:val="002060"/>
          <w:sz w:val="20"/>
        </w:rPr>
        <w:t>Mise en production du système d’archivage électronique :</w:t>
      </w:r>
    </w:p>
    <w:p>
      <w:pPr>
        <w:pStyle w:val="TEXTEFIXE"/>
        <w:numPr>
          <w:ilvl w:val="2"/>
          <w:numId w:val="1"/>
        </w:numPr>
        <w:jc w:val="both"/>
        <w:rPr>
          <w:b w:val="false"/>
          <w:bCs w:val="false"/>
          <w:color w:val="002060"/>
          <w:sz w:val="20"/>
          <w:szCs w:val="20"/>
        </w:rPr>
      </w:pPr>
      <w:r>
        <w:rPr>
          <w:b w:val="false"/>
          <w:bCs w:val="false"/>
          <w:color w:val="002060"/>
          <w:sz w:val="20"/>
        </w:rPr>
        <w:t xml:space="preserve">Accompagnement </w:t>
      </w:r>
      <w:r>
        <w:rPr>
          <w:b w:val="false"/>
          <w:bCs w:val="false"/>
          <w:color w:val="002060"/>
          <w:sz w:val="20"/>
        </w:rPr>
        <w:t>au</w:t>
      </w:r>
      <w:r>
        <w:rPr>
          <w:b w:val="false"/>
          <w:bCs w:val="false"/>
          <w:color w:val="002060"/>
          <w:sz w:val="20"/>
        </w:rPr>
        <w:t xml:space="preserve"> suivi de projet</w:t>
      </w:r>
    </w:p>
    <w:p>
      <w:pPr>
        <w:pStyle w:val="TEXTEFIXE"/>
        <w:numPr>
          <w:ilvl w:val="2"/>
          <w:numId w:val="1"/>
        </w:numPr>
        <w:jc w:val="both"/>
        <w:rPr>
          <w:b w:val="false"/>
          <w:bCs w:val="false"/>
          <w:color w:val="002060"/>
          <w:sz w:val="20"/>
          <w:szCs w:val="20"/>
        </w:rPr>
      </w:pPr>
      <w:r>
        <w:rPr>
          <w:b w:val="false"/>
          <w:bCs w:val="false"/>
          <w:color w:val="002060"/>
          <w:sz w:val="20"/>
        </w:rPr>
        <w:t>Réaliser des versements sur les périmètres ciblés.</w:t>
      </w:r>
    </w:p>
    <w:p>
      <w:pPr>
        <w:pStyle w:val="TEXTEFIXE"/>
        <w:numPr>
          <w:ilvl w:val="0"/>
          <w:numId w:val="1"/>
        </w:numPr>
        <w:jc w:val="both"/>
        <w:rPr>
          <w:b w:val="false"/>
          <w:bCs w:val="false"/>
          <w:color w:val="002060"/>
          <w:sz w:val="20"/>
          <w:szCs w:val="20"/>
        </w:rPr>
      </w:pPr>
      <w:r>
        <w:rPr>
          <w:b w:val="false"/>
          <w:bCs w:val="false"/>
          <w:color w:val="002060"/>
          <w:sz w:val="20"/>
        </w:rPr>
        <w:t>Mission transversale : accompagner les archivistes sur les chantiers instructifs pour l’alternant.</w:t>
      </w:r>
    </w:p>
    <w:p>
      <w:pPr>
        <w:pStyle w:val="TEXTEFIXE"/>
        <w:jc w:val="both"/>
        <w:rPr>
          <w:color w:val="002060"/>
        </w:rPr>
      </w:pPr>
      <w:r>
        <w:rPr>
          <w:color w:val="002060"/>
        </w:rPr>
      </w:r>
    </w:p>
    <w:p>
      <w:pPr>
        <w:pStyle w:val="Standard"/>
        <w:jc w:val="both"/>
        <w:rPr>
          <w:i/>
          <w:i/>
          <w:iCs/>
          <w:color w:val="002060"/>
          <w:sz w:val="20"/>
        </w:rPr>
      </w:pPr>
      <w:r>
        <w:rPr>
          <w:i/>
          <w:iCs/>
          <w:color w:val="002060"/>
          <w:sz w:val="20"/>
        </w:rPr>
      </w:r>
    </w:p>
    <w:p>
      <w:pPr>
        <w:pStyle w:val="TEXTEFIXE"/>
        <w:jc w:val="both"/>
        <w:rPr>
          <w:bCs/>
          <w:color w:val="002060"/>
          <w:sz w:val="20"/>
        </w:rPr>
      </w:pPr>
      <w:r>
        <w:rPr>
          <w:bCs/>
          <w:color w:val="002060"/>
          <w:sz w:val="20"/>
        </w:rPr>
        <w:t>Descriptif du profil recherché :</w:t>
      </w:r>
    </w:p>
    <w:p>
      <w:pPr>
        <w:pStyle w:val="Standard"/>
        <w:jc w:val="both"/>
        <w:rPr>
          <w:rFonts w:ascii="Arial" w:hAnsi="Arial"/>
          <w:color w:val="002060"/>
          <w:sz w:val="20"/>
          <w:szCs w:val="20"/>
        </w:rPr>
      </w:pPr>
      <w:r>
        <w:rPr>
          <w:rFonts w:ascii="Arial" w:hAnsi="Arial"/>
          <w:color w:val="002060"/>
          <w:sz w:val="20"/>
          <w:szCs w:val="20"/>
        </w:rPr>
      </w:r>
    </w:p>
    <w:p>
      <w:pPr>
        <w:pStyle w:val="Standard"/>
        <w:jc w:val="both"/>
        <w:rPr>
          <w:rFonts w:ascii="Arial" w:hAnsi="Arial"/>
          <w:color w:val="002060"/>
          <w:sz w:val="20"/>
          <w:szCs w:val="20"/>
          <w:highlight w:val="none"/>
        </w:rPr>
      </w:pPr>
      <w:r>
        <w:rPr>
          <w:rFonts w:ascii="Arial" w:hAnsi="Arial"/>
          <w:color w:val="002060"/>
          <w:sz w:val="20"/>
          <w:szCs w:val="20"/>
        </w:rPr>
        <w:t>Savoir :</w:t>
      </w:r>
    </w:p>
    <w:p>
      <w:pPr>
        <w:pStyle w:val="Standard"/>
        <w:jc w:val="both"/>
        <w:rPr>
          <w:rFonts w:ascii="Arial" w:hAnsi="Arial"/>
          <w:color w:val="002060"/>
          <w:sz w:val="20"/>
          <w:szCs w:val="20"/>
          <w:highlight w:val="none"/>
        </w:rPr>
      </w:pPr>
      <w:r>
        <w:rPr>
          <w:rFonts w:ascii="Arial" w:hAnsi="Arial"/>
          <w:color w:val="002060"/>
          <w:sz w:val="20"/>
          <w:szCs w:val="20"/>
        </w:rPr>
        <w:t>Connaître le cadre législatif et réglementaire des archives publiques.</w:t>
      </w:r>
    </w:p>
    <w:p>
      <w:pPr>
        <w:pStyle w:val="Standard"/>
        <w:jc w:val="both"/>
        <w:rPr>
          <w:rFonts w:ascii="Arial" w:hAnsi="Arial"/>
          <w:color w:val="002060"/>
          <w:sz w:val="20"/>
          <w:szCs w:val="20"/>
          <w:highlight w:val="none"/>
        </w:rPr>
      </w:pPr>
      <w:r>
        <w:rPr>
          <w:rFonts w:ascii="Arial" w:hAnsi="Arial"/>
          <w:color w:val="002060"/>
          <w:sz w:val="20"/>
          <w:szCs w:val="20"/>
        </w:rPr>
        <w:t>Maîtriser les principes de conservation des archives publiques.</w:t>
      </w:r>
    </w:p>
    <w:p>
      <w:pPr>
        <w:pStyle w:val="Standard"/>
        <w:jc w:val="both"/>
        <w:rPr>
          <w:rFonts w:ascii="Arial" w:hAnsi="Arial"/>
          <w:color w:val="002060"/>
          <w:sz w:val="20"/>
          <w:szCs w:val="20"/>
        </w:rPr>
      </w:pPr>
      <w:r>
        <w:rPr>
          <w:rFonts w:ascii="Arial" w:hAnsi="Arial"/>
          <w:color w:val="002060"/>
          <w:sz w:val="20"/>
          <w:szCs w:val="20"/>
        </w:rPr>
      </w:r>
    </w:p>
    <w:p>
      <w:pPr>
        <w:pStyle w:val="Standard"/>
        <w:jc w:val="both"/>
        <w:rPr>
          <w:rFonts w:ascii="Arial" w:hAnsi="Arial"/>
          <w:color w:val="002060"/>
          <w:sz w:val="20"/>
          <w:szCs w:val="20"/>
          <w:highlight w:val="none"/>
        </w:rPr>
      </w:pPr>
      <w:r>
        <w:rPr>
          <w:rFonts w:ascii="Arial" w:hAnsi="Arial"/>
          <w:color w:val="002060"/>
          <w:sz w:val="20"/>
          <w:szCs w:val="20"/>
        </w:rPr>
        <w:t>Savoir-faire :</w:t>
      </w:r>
    </w:p>
    <w:p>
      <w:pPr>
        <w:pStyle w:val="Standard"/>
        <w:jc w:val="both"/>
        <w:rPr>
          <w:rFonts w:ascii="Arial" w:hAnsi="Arial"/>
          <w:color w:val="002060"/>
          <w:sz w:val="20"/>
          <w:szCs w:val="20"/>
          <w:highlight w:val="none"/>
        </w:rPr>
      </w:pPr>
      <w:r>
        <w:rPr>
          <w:rFonts w:ascii="Arial" w:hAnsi="Arial"/>
          <w:color w:val="002060"/>
          <w:sz w:val="20"/>
          <w:szCs w:val="20"/>
        </w:rPr>
        <w:t>Appliquer les règles d’un référentiel de conservation.</w:t>
      </w:r>
    </w:p>
    <w:p>
      <w:pPr>
        <w:pStyle w:val="Standard"/>
        <w:jc w:val="both"/>
        <w:rPr>
          <w:rFonts w:ascii="Arial" w:hAnsi="Arial"/>
          <w:color w:val="002060"/>
          <w:sz w:val="20"/>
          <w:szCs w:val="20"/>
          <w:highlight w:val="none"/>
        </w:rPr>
      </w:pPr>
      <w:r>
        <w:rPr>
          <w:rFonts w:ascii="Arial" w:hAnsi="Arial"/>
          <w:color w:val="002060"/>
          <w:sz w:val="20"/>
          <w:szCs w:val="20"/>
        </w:rPr>
        <w:t xml:space="preserve">Hiérarchiser l’information. </w:t>
      </w:r>
    </w:p>
    <w:p>
      <w:pPr>
        <w:pStyle w:val="Standard"/>
        <w:jc w:val="both"/>
        <w:rPr>
          <w:rFonts w:ascii="Arial" w:hAnsi="Arial"/>
          <w:color w:val="002060"/>
          <w:sz w:val="20"/>
          <w:szCs w:val="20"/>
          <w:highlight w:val="none"/>
        </w:rPr>
      </w:pPr>
      <w:r>
        <w:rPr>
          <w:rFonts w:ascii="Arial" w:hAnsi="Arial"/>
          <w:color w:val="002060"/>
          <w:sz w:val="20"/>
          <w:szCs w:val="20"/>
        </w:rPr>
        <w:t>Replacer le document dans son contexte de production.</w:t>
      </w:r>
    </w:p>
    <w:p>
      <w:pPr>
        <w:pStyle w:val="Standard"/>
        <w:jc w:val="both"/>
        <w:rPr>
          <w:rFonts w:ascii="Arial" w:hAnsi="Arial"/>
          <w:color w:val="002060"/>
          <w:sz w:val="20"/>
          <w:szCs w:val="20"/>
          <w:highlight w:val="none"/>
        </w:rPr>
      </w:pPr>
      <w:r>
        <w:rPr>
          <w:rFonts w:ascii="Arial" w:hAnsi="Arial"/>
          <w:color w:val="002060"/>
          <w:sz w:val="20"/>
          <w:szCs w:val="20"/>
        </w:rPr>
        <w:t>A partir de sa propre analyse, rédiger des bordereaux de versement ou d’élimination.</w:t>
      </w:r>
    </w:p>
    <w:p>
      <w:pPr>
        <w:pStyle w:val="Standard"/>
        <w:jc w:val="both"/>
        <w:rPr>
          <w:rFonts w:ascii="Arial" w:hAnsi="Arial"/>
          <w:color w:val="002060"/>
          <w:sz w:val="20"/>
          <w:szCs w:val="20"/>
          <w:highlight w:val="none"/>
        </w:rPr>
      </w:pPr>
      <w:r>
        <w:rPr>
          <w:rFonts w:ascii="Arial" w:hAnsi="Arial"/>
          <w:color w:val="002060"/>
          <w:sz w:val="20"/>
          <w:szCs w:val="20"/>
        </w:rPr>
        <w:t>Savoir rédiger.</w:t>
      </w:r>
    </w:p>
    <w:p>
      <w:pPr>
        <w:pStyle w:val="Standard"/>
        <w:jc w:val="both"/>
        <w:rPr>
          <w:rFonts w:ascii="Arial" w:hAnsi="Arial"/>
          <w:color w:val="002060"/>
          <w:sz w:val="20"/>
          <w:szCs w:val="20"/>
          <w:highlight w:val="none"/>
        </w:rPr>
      </w:pPr>
      <w:r>
        <w:rPr>
          <w:rFonts w:ascii="Arial" w:hAnsi="Arial"/>
          <w:color w:val="002060"/>
          <w:sz w:val="20"/>
          <w:szCs w:val="20"/>
        </w:rPr>
      </w:r>
    </w:p>
    <w:p>
      <w:pPr>
        <w:pStyle w:val="Standard"/>
        <w:jc w:val="both"/>
        <w:rPr>
          <w:rFonts w:ascii="Arial" w:hAnsi="Arial"/>
          <w:color w:val="002060"/>
          <w:sz w:val="20"/>
          <w:szCs w:val="20"/>
          <w:highlight w:val="none"/>
        </w:rPr>
      </w:pPr>
      <w:r>
        <w:rPr>
          <w:rFonts w:ascii="Arial" w:hAnsi="Arial"/>
          <w:color w:val="002060"/>
          <w:sz w:val="20"/>
          <w:szCs w:val="20"/>
        </w:rPr>
        <w:t>Savoir-être :</w:t>
      </w:r>
    </w:p>
    <w:p>
      <w:pPr>
        <w:pStyle w:val="Standard"/>
        <w:jc w:val="both"/>
        <w:rPr>
          <w:rFonts w:ascii="Arial" w:hAnsi="Arial"/>
          <w:color w:val="002060"/>
          <w:sz w:val="20"/>
          <w:szCs w:val="20"/>
          <w:highlight w:val="none"/>
        </w:rPr>
      </w:pPr>
      <w:r>
        <w:rPr>
          <w:rFonts w:ascii="Arial" w:hAnsi="Arial"/>
          <w:color w:val="002060"/>
          <w:sz w:val="20"/>
          <w:szCs w:val="20"/>
        </w:rPr>
        <w:t>Autonomie et rigueur.</w:t>
      </w:r>
    </w:p>
    <w:p>
      <w:pPr>
        <w:pStyle w:val="Standard"/>
        <w:jc w:val="both"/>
        <w:rPr>
          <w:rFonts w:ascii="Arial" w:hAnsi="Arial"/>
          <w:color w:val="002060"/>
          <w:sz w:val="20"/>
          <w:szCs w:val="20"/>
          <w:highlight w:val="none"/>
        </w:rPr>
      </w:pPr>
      <w:r>
        <w:rPr>
          <w:rFonts w:ascii="Arial" w:hAnsi="Arial"/>
          <w:color w:val="002060"/>
          <w:sz w:val="20"/>
          <w:szCs w:val="20"/>
        </w:rPr>
        <w:t>Capacité à faire des choix, à prendre en charge son activité et à rendre compte.</w:t>
      </w:r>
    </w:p>
    <w:p>
      <w:pPr>
        <w:pStyle w:val="Standard"/>
        <w:jc w:val="both"/>
        <w:rPr>
          <w:rFonts w:ascii="Arial" w:hAnsi="Arial"/>
          <w:color w:val="002060"/>
          <w:sz w:val="20"/>
          <w:szCs w:val="20"/>
          <w:highlight w:val="none"/>
        </w:rPr>
      </w:pPr>
      <w:r>
        <w:rPr>
          <w:rFonts w:ascii="Arial" w:hAnsi="Arial"/>
          <w:color w:val="002060"/>
          <w:sz w:val="20"/>
          <w:szCs w:val="20"/>
        </w:rPr>
        <w:t>Organisé et méthodique.</w:t>
      </w:r>
    </w:p>
    <w:p>
      <w:pPr>
        <w:pStyle w:val="Standard"/>
        <w:jc w:val="both"/>
        <w:rPr>
          <w:rFonts w:ascii="Arial" w:hAnsi="Arial"/>
          <w:color w:val="002060"/>
          <w:sz w:val="20"/>
          <w:szCs w:val="20"/>
          <w:highlight w:val="none"/>
        </w:rPr>
      </w:pPr>
      <w:r>
        <w:rPr>
          <w:rFonts w:ascii="Arial" w:hAnsi="Arial"/>
          <w:color w:val="002060"/>
          <w:sz w:val="20"/>
          <w:szCs w:val="20"/>
        </w:rPr>
        <w:t>Qualités relationnelles, discrétion.</w:t>
      </w:r>
    </w:p>
    <w:p>
      <w:pPr>
        <w:pStyle w:val="Standard"/>
        <w:jc w:val="both"/>
        <w:rPr>
          <w:rFonts w:ascii="Arial" w:hAnsi="Arial"/>
          <w:color w:val="002060"/>
          <w:sz w:val="20"/>
          <w:szCs w:val="20"/>
          <w:highlight w:val="none"/>
        </w:rPr>
      </w:pPr>
      <w:r>
        <w:rPr>
          <w:rFonts w:ascii="Arial" w:hAnsi="Arial"/>
          <w:color w:val="002060"/>
          <w:sz w:val="20"/>
          <w:szCs w:val="20"/>
        </w:rPr>
        <w:t>Appétence pour le travail en binôme.</w:t>
      </w:r>
    </w:p>
    <w:p>
      <w:pPr>
        <w:pStyle w:val="Standard"/>
        <w:jc w:val="both"/>
        <w:rPr>
          <w:rFonts w:ascii="Arial" w:hAnsi="Arial"/>
          <w:b/>
          <w:bCs/>
          <w:color w:val="002060"/>
          <w:sz w:val="20"/>
          <w:szCs w:val="20"/>
        </w:rPr>
      </w:pPr>
      <w:r>
        <w:rPr>
          <w:rFonts w:ascii="Arial" w:hAnsi="Arial"/>
          <w:b/>
          <w:bCs/>
          <w:color w:val="002060"/>
          <w:sz w:val="20"/>
          <w:szCs w:val="20"/>
        </w:rPr>
      </w:r>
    </w:p>
    <w:p>
      <w:pPr>
        <w:pStyle w:val="TEXTEFIXE"/>
        <w:jc w:val="both"/>
        <w:rPr>
          <w:bCs/>
          <w:color w:val="002060"/>
          <w:sz w:val="20"/>
        </w:rPr>
      </w:pPr>
      <w:r>
        <w:rPr>
          <w:bCs/>
          <w:color w:val="002060"/>
          <w:sz w:val="20"/>
        </w:rPr>
        <w:t>Contacts :</w:t>
      </w:r>
    </w:p>
    <w:p>
      <w:pPr>
        <w:pStyle w:val="TEXTEFIXE"/>
        <w:jc w:val="both"/>
        <w:rPr>
          <w:bCs/>
          <w:color w:val="002060"/>
          <w:sz w:val="20"/>
        </w:rPr>
      </w:pPr>
      <w:r>
        <w:rPr>
          <w:bCs/>
          <w:color w:val="002060"/>
          <w:sz w:val="20"/>
        </w:rPr>
      </w:r>
    </w:p>
    <w:p>
      <w:pPr>
        <w:pStyle w:val="TEXTEFIXE"/>
        <w:jc w:val="both"/>
        <w:rPr>
          <w:b w:val="false"/>
          <w:bCs w:val="false"/>
          <w:color w:val="002060"/>
          <w:sz w:val="20"/>
          <w:szCs w:val="20"/>
          <w:highlight w:val="none"/>
        </w:rPr>
      </w:pPr>
      <w:r>
        <w:rPr>
          <w:b w:val="false"/>
          <w:color w:val="002060"/>
          <w:sz w:val="20"/>
        </w:rPr>
        <w:t xml:space="preserve">Maître d’apprentissage : Nolwenn PETITON, directrice de projet Archives, </w:t>
      </w:r>
      <w:hyperlink r:id="rId2" w:tgtFrame="mailto:nolwenn.petiton@cerema.fr">
        <w:r>
          <w:rPr>
            <w:rStyle w:val="Hyperlink"/>
            <w:b w:val="false"/>
            <w:sz w:val="20"/>
          </w:rPr>
          <w:t>nolwenn.petiton@cerema.fr</w:t>
        </w:r>
      </w:hyperlink>
      <w:r>
        <w:rPr>
          <w:b w:val="false"/>
          <w:color w:val="002060"/>
          <w:sz w:val="20"/>
        </w:rPr>
        <w:t xml:space="preserve"> / 06.98.84.68.95</w:t>
      </w:r>
    </w:p>
    <w:p>
      <w:pPr>
        <w:pStyle w:val="TEXTEFIXE"/>
        <w:jc w:val="both"/>
        <w:rPr/>
      </w:pPr>
      <w:r>
        <w:rPr/>
      </w:r>
    </w:p>
    <w:p>
      <w:pPr>
        <w:pStyle w:val="TEXTEFIXE"/>
        <w:jc w:val="both"/>
        <w:rPr/>
      </w:pPr>
      <w:r>
        <w:rPr>
          <w:b w:val="false"/>
          <w:color w:val="002060"/>
          <w:sz w:val="20"/>
        </w:rPr>
        <w:t xml:space="preserve">Béatrice ALLEMAND, cheffe du pôle Gestion de la connaissance, </w:t>
      </w:r>
      <w:hyperlink r:id="rId3" w:tgtFrame="mailto:beatrice.allemand@cerema.fr">
        <w:r>
          <w:rPr>
            <w:rStyle w:val="Hyperlink"/>
            <w:b w:val="false"/>
            <w:sz w:val="20"/>
          </w:rPr>
          <w:t>beatrice.allemand@cerema.fr</w:t>
        </w:r>
      </w:hyperlink>
      <w:r>
        <w:rPr>
          <w:b w:val="false"/>
          <w:color w:val="002060"/>
          <w:sz w:val="20"/>
        </w:rPr>
        <w:t xml:space="preserve"> / 06 62 56 73 45</w:t>
      </w:r>
    </w:p>
    <w:p>
      <w:pPr>
        <w:pStyle w:val="TEXTEFIXE"/>
        <w:jc w:val="both"/>
        <w:rPr>
          <w:rFonts w:ascii="Liberation Sans" w:hAnsi="Liberation Sans" w:eastAsia="LiberationSansNarrow" w:cs="LiberationSansNarrow"/>
          <w:b w:val="false"/>
          <w:bCs/>
          <w:sz w:val="20"/>
          <w:szCs w:val="22"/>
          <w:shd w:fill="FFFFFF" w:val="clear"/>
        </w:rPr>
      </w:pPr>
      <w:r>
        <w:rPr>
          <w:rFonts w:eastAsia="LiberationSansNarrow" w:cs="LiberationSansNarrow" w:ascii="Liberation Sans" w:hAnsi="Liberation Sans"/>
          <w:b w:val="false"/>
          <w:bCs/>
          <w:sz w:val="20"/>
          <w:szCs w:val="22"/>
          <w:shd w:fill="FFFFFF" w:val="clear"/>
        </w:rPr>
      </w:r>
    </w:p>
    <w:p>
      <w:pPr>
        <w:pStyle w:val="TEXTEFIXE"/>
        <w:jc w:val="both"/>
        <w:rPr>
          <w:rFonts w:ascii="Liberation Sans" w:hAnsi="Liberation Sans" w:eastAsia="LiberationSansNarrow" w:cs="LiberationSansNarrow"/>
          <w:b w:val="false"/>
          <w:bCs/>
          <w:sz w:val="20"/>
          <w:szCs w:val="22"/>
          <w:shd w:fill="FFFFFF" w:val="clear"/>
        </w:rPr>
      </w:pPr>
      <w:r>
        <w:rPr>
          <w:rFonts w:eastAsia="LiberationSansNarrow" w:cs="LiberationSansNarrow" w:ascii="Liberation Sans" w:hAnsi="Liberation Sans"/>
          <w:b w:val="false"/>
          <w:bCs/>
          <w:sz w:val="20"/>
          <w:szCs w:val="22"/>
          <w:shd w:fill="FFFFFF" w:val="clear"/>
        </w:rPr>
      </w:r>
    </w:p>
    <w:p>
      <w:pPr>
        <w:pStyle w:val="TEXTEFIXE"/>
        <w:jc w:val="center"/>
        <w:rPr/>
      </w:pPr>
      <w:r>
        <w:rPr>
          <w:rStyle w:val="Hyperlink"/>
          <w:rFonts w:eastAsia="LiberationSansNarrow" w:cs="LiberationSansNarrow"/>
          <w:bCs/>
          <w:color w:val="3399FF"/>
          <w:sz w:val="20"/>
          <w:u w:val="none"/>
          <w:shd w:fill="FFFFFF" w:val="clear"/>
        </w:rPr>
        <w:t>Pour postuler : adresser par mail un CV + lettre de motivation + copie du diplôme requis</w:t>
      </w:r>
    </w:p>
    <w:sectPr>
      <w:headerReference w:type="default" r:id="rId4"/>
      <w:footerReference w:type="default" r:id="rId5"/>
      <w:type w:val="nextPage"/>
      <w:pgSz w:w="11906" w:h="16838"/>
      <w:pgMar w:left="1770" w:right="1121" w:gutter="0" w:header="720" w:top="1134" w:footer="1134" w:bottom="147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swiss"/>
    <w:pitch w:val="variable"/>
  </w:font>
  <w:font w:name="Arial">
    <w:charset w:val="00"/>
    <w:family w:val="roman"/>
    <w:pitch w:val="variable"/>
  </w:font>
  <w:font w:name="OpenSymbol">
    <w:altName w:val="Arial Unicode MS"/>
    <w:charset w:val="00"/>
    <w:family w:val="roman"/>
    <w:pitch w:val="variable"/>
  </w:font>
  <w:font w:name="Arial">
    <w:altName w:val=" sans-serif"/>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before="0" w:after="0"/>
      <w:jc w:val="right"/>
      <w:rPr/>
    </w:pPr>
    <w:r>
      <w:rPr>
        <w:rFonts w:ascii="Arial" w:hAnsi="Arial"/>
        <w:color w:val="000000"/>
        <w:sz w:val="18"/>
        <w:szCs w:val="18"/>
      </w:rPr>
      <w:fldChar w:fldCharType="begin"/>
    </w:r>
    <w:r>
      <w:rPr>
        <w:sz w:val="18"/>
        <w:szCs w:val="18"/>
        <w:rFonts w:ascii="Arial" w:hAnsi="Arial"/>
        <w:color w:val="000000"/>
      </w:rPr>
      <w:instrText xml:space="preserve"> PAGE </w:instrText>
    </w:r>
    <w:r>
      <w:rPr>
        <w:sz w:val="18"/>
        <w:szCs w:val="18"/>
        <w:rFonts w:ascii="Arial" w:hAnsi="Arial"/>
        <w:color w:val="000000"/>
      </w:rPr>
      <w:fldChar w:fldCharType="separate"/>
    </w:r>
    <w:r>
      <w:rPr>
        <w:sz w:val="18"/>
        <w:szCs w:val="18"/>
        <w:rFonts w:ascii="Arial" w:hAnsi="Arial"/>
        <w:color w:val="000000"/>
      </w:rPr>
      <w:t>2</w:t>
    </w:r>
    <w:r>
      <w:rPr>
        <w:sz w:val="18"/>
        <w:szCs w:val="18"/>
        <w:rFonts w:ascii="Arial" w:hAnsi="Arial"/>
        <w:color w:val="000000"/>
      </w:rPr>
      <w:fldChar w:fldCharType="end"/>
    </w:r>
    <w:r>
      <w:rPr>
        <w:rFonts w:ascii="Arial" w:hAnsi="Arial"/>
        <w:color w:val="000000"/>
        <w:sz w:val="18"/>
        <w:szCs w:val="18"/>
      </w:rPr>
      <w:t>/</w:t>
    </w:r>
    <w:r>
      <w:rPr>
        <w:rFonts w:ascii="Arial" w:hAnsi="Arial"/>
        <w:color w:val="000000"/>
        <w:sz w:val="18"/>
        <w:szCs w:val="18"/>
      </w:rPr>
      <w:fldChar w:fldCharType="begin"/>
    </w:r>
    <w:r>
      <w:rPr>
        <w:sz w:val="18"/>
        <w:szCs w:val="18"/>
        <w:rFonts w:ascii="Arial" w:hAnsi="Arial"/>
        <w:color w:val="000000"/>
      </w:rPr>
      <w:instrText xml:space="preserve"> NUMPAGES </w:instrText>
    </w:r>
    <w:r>
      <w:rPr>
        <w:sz w:val="18"/>
        <w:szCs w:val="18"/>
        <w:rFonts w:ascii="Arial" w:hAnsi="Arial"/>
        <w:color w:val="000000"/>
      </w:rPr>
      <w:fldChar w:fldCharType="separate"/>
    </w:r>
    <w:r>
      <w:rPr>
        <w:sz w:val="18"/>
        <w:szCs w:val="18"/>
        <w:rFonts w:ascii="Arial" w:hAnsi="Arial"/>
        <w:color w:val="000000"/>
      </w:rPr>
      <w:t>2</w:t>
    </w:r>
    <w:r>
      <w:rPr>
        <w:sz w:val="18"/>
        <w:szCs w:val="18"/>
        <w:rFonts w:ascii="Arial" w:hAnsi="Arial"/>
        <w:color w:val="000000"/>
      </w:rPr>
      <w:fldChar w:fldCharType="end"/>
    </w:r>
  </w:p>
  <w:p>
    <w:pPr>
      <w:pStyle w:val="Textbody"/>
      <w:spacing w:before="0" w:after="0"/>
      <w:rPr>
        <w:rFonts w:ascii="Arial" w:hAnsi="Arial"/>
        <w:color w:val="F68320"/>
        <w:sz w:val="18"/>
        <w:szCs w:val="18"/>
      </w:rPr>
    </w:pPr>
    <w:r>
      <w:rPr>
        <w:rFonts w:ascii="Arial" w:hAnsi="Arial"/>
        <w:color w:val="F68320"/>
        <w:sz w:val="18"/>
        <w:szCs w:val="18"/>
      </w:rPr>
      <w:t>Centre d’études et d’expertise sur les risques, l’environnement, la mobilité et l’aménagement</w:t>
    </w:r>
  </w:p>
  <w:p>
    <w:pPr>
      <w:pStyle w:val="Textbody"/>
      <w:spacing w:before="0" w:after="120"/>
      <w:rPr/>
    </w:pPr>
    <w:r>
      <w:rPr>
        <w:rFonts w:ascii="Arial" w:hAnsi="Arial"/>
        <w:color w:val="818385"/>
        <w:sz w:val="14"/>
        <w:szCs w:val="18"/>
      </w:rPr>
      <w:t xml:space="preserve">Siège social : Cité des mobilités – 25, avenue François Mitterrand – CS 92 803 – F-69 674 Bron Cedex – Tél : +33 (0)4 72 14 30 30 </w:t>
    </w:r>
    <w:r>
      <w:rPr>
        <w:rFonts w:ascii="Arial" w:hAnsi="Arial"/>
        <w:color w:val="F68320"/>
        <w:sz w:val="18"/>
        <w:szCs w:val="18"/>
      </w:rPr>
      <w:t>www.cerema.fr</w:t>
    </w:r>
    <w:r>
      <w:rPr>
        <w:sz w:val="18"/>
        <w:szCs w:val="18"/>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rPr/>
    </w:pPr>
    <w:r>
      <w:drawing>
        <wp:anchor behindDoc="1" distT="0" distB="0" distL="0" distR="0" simplePos="0" locked="0" layoutInCell="0" allowOverlap="1" relativeHeight="3">
          <wp:simplePos x="0" y="0"/>
          <wp:positionH relativeFrom="margin">
            <wp:posOffset>-947420</wp:posOffset>
          </wp:positionH>
          <wp:positionV relativeFrom="paragraph">
            <wp:posOffset>-85725</wp:posOffset>
          </wp:positionV>
          <wp:extent cx="1024255" cy="914400"/>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024255" cy="914400"/>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3381375</wp:posOffset>
          </wp:positionH>
          <wp:positionV relativeFrom="paragraph">
            <wp:posOffset>-206375</wp:posOffset>
          </wp:positionV>
          <wp:extent cx="2665730" cy="774700"/>
          <wp:effectExtent l="0" t="0" r="0" b="0"/>
          <wp:wrapThrough wrapText="bothSides">
            <wp:wrapPolygon edited="0">
              <wp:start x="2619" y="0"/>
              <wp:lineTo x="-6" y="3710"/>
              <wp:lineTo x="-6" y="8495"/>
              <wp:lineTo x="1538" y="16991"/>
              <wp:lineTo x="1383" y="20181"/>
              <wp:lineTo x="1689" y="21234"/>
              <wp:lineTo x="2772" y="21234"/>
              <wp:lineTo x="4313" y="21234"/>
              <wp:lineTo x="21446" y="20181"/>
              <wp:lineTo x="21446" y="7964"/>
              <wp:lineTo x="4779" y="0"/>
              <wp:lineTo x="2619" y="0"/>
            </wp:wrapPolygon>
          </wp:wrapThrough>
          <wp:docPr id="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
                  <pic:cNvPicPr>
                    <a:picLocks noChangeAspect="1" noChangeArrowheads="1"/>
                  </pic:cNvPicPr>
                </pic:nvPicPr>
                <pic:blipFill>
                  <a:blip r:embed="rId2"/>
                  <a:srcRect l="0" t="0" r="15833" b="0"/>
                  <a:stretch>
                    <a:fillRect/>
                  </a:stretch>
                </pic:blipFill>
                <pic:spPr bwMode="auto">
                  <a:xfrm>
                    <a:off x="0" y="0"/>
                    <a:ext cx="2665730" cy="774700"/>
                  </a:xfrm>
                  <a:prstGeom prst="rect">
                    <a:avLst/>
                  </a:prstGeom>
                </pic:spPr>
              </pic:pic>
            </a:graphicData>
          </a:graphic>
        </wp:anchor>
      </w:drawing>
    </w:r>
    <w:r>
      <w:rPr>
        <w:rFonts w:cs="Mangal"/>
        <w:sz w:val="22"/>
        <w:szCs w:val="22"/>
      </w:rPr>
      <w:tab/>
      <w:tab/>
      <w:tab/>
      <w:tab/>
      <w:tab/>
      <w:tab/>
      <w:tab/>
      <w:tab/>
      <w:tab/>
      <w:tab/>
      <w:tab/>
      <w:tab/>
    </w:r>
  </w:p>
  <w:p>
    <w:pPr>
      <w:pStyle w:val="Standard1"/>
      <w:rPr>
        <w:rFonts w:cs="Mangal"/>
        <w:sz w:val="22"/>
        <w:szCs w:val="22"/>
      </w:rPr>
    </w:pPr>
    <w:r>
      <w:rPr>
        <w:rFonts w:cs="Mangal"/>
        <w:sz w:val="22"/>
        <w:szCs w:val="22"/>
      </w:rPr>
    </w:r>
  </w:p>
  <w:p>
    <w:pPr>
      <w:pStyle w:val="Standard1"/>
      <w:rPr>
        <w:rFonts w:cs="Mangal"/>
        <w:sz w:val="22"/>
        <w:szCs w:val="22"/>
      </w:rPr>
    </w:pPr>
    <w:r>
      <w:rPr>
        <w:rFonts w:cs="Mangal"/>
        <w:sz w:val="22"/>
        <w:szCs w:val="22"/>
      </w:rPr>
    </w:r>
  </w:p>
  <w:p>
    <w:pPr>
      <w:pStyle w:val="Standard1"/>
      <w:tabs>
        <w:tab w:val="clear" w:pos="720"/>
        <w:tab w:val="left" w:pos="6510" w:leader="none"/>
      </w:tabs>
      <w:rPr>
        <w:rFonts w:cs="Mangal"/>
        <w:sz w:val="22"/>
        <w:szCs w:val="22"/>
      </w:rPr>
    </w:pPr>
    <w:r>
      <w:rPr>
        <w:rFonts w:cs="Mangal"/>
        <w:sz w:val="22"/>
        <w:szCs w:val="22"/>
      </w:rPr>
      <w:tab/>
    </w:r>
  </w:p>
  <w:p>
    <w:pPr>
      <w:pStyle w:val="Standard1"/>
      <w:rPr>
        <w:rFonts w:cs="Mangal"/>
        <w:sz w:val="22"/>
        <w:szCs w:val="22"/>
      </w:rPr>
    </w:pPr>
    <w:r>
      <w:rPr>
        <w:rFonts w:cs="Mangal"/>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SimSun" w:cs="Mangal"/>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before="0" w:after="0"/>
      <w:jc w:val="left"/>
    </w:pPr>
    <w:rPr>
      <w:rFonts w:ascii="Liberation Sans" w:hAnsi="Liberation Sans" w:eastAsia="SimSun" w:cs="Mangal"/>
      <w:color w:val="auto"/>
      <w:kern w:val="0"/>
      <w:sz w:val="24"/>
      <w:szCs w:val="24"/>
      <w:lang w:val="fr-FR" w:eastAsia="zh-CN" w:bidi="hi-IN"/>
    </w:rPr>
  </w:style>
  <w:style w:type="paragraph" w:styleId="Heading1">
    <w:name w:val="Heading 1"/>
    <w:basedOn w:val="Titre"/>
    <w:qFormat/>
    <w:pPr>
      <w:keepNext w:val="true"/>
      <w:keepLines/>
      <w:spacing w:before="480" w:after="120"/>
      <w:outlineLvl w:val="0"/>
    </w:pPr>
    <w:rPr>
      <w:rFonts w:ascii="Cambria" w:hAnsi="Cambria" w:eastAsia="Cambria" w:cs="Cambria"/>
      <w:b/>
      <w:bCs/>
      <w:color w:val="365F91"/>
      <w:sz w:val="28"/>
      <w:szCs w:val="28"/>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Caractresdenotedebasdepage">
    <w:name w:val="Caractères de note de bas de page"/>
    <w:uiPriority w:val="99"/>
    <w:unhideWhenUsed/>
    <w:qFormat/>
    <w:rPr>
      <w:vertAlign w:val="superscript"/>
    </w:rPr>
  </w:style>
  <w:style w:type="character" w:styleId="FootnoteReference" w:customStyle="1">
    <w:name w:val="Footnote Reference"/>
    <w:rPr>
      <w:vertAlign w:val="superscript"/>
    </w:rPr>
  </w:style>
  <w:style w:type="character" w:styleId="EndnoteTextChar">
    <w:name w:val="Endnote Text Char"/>
    <w:uiPriority w:val="99"/>
    <w:qFormat/>
    <w:rPr>
      <w:sz w:val="20"/>
    </w:rPr>
  </w:style>
  <w:style w:type="character" w:styleId="Caractresdenotedefin">
    <w:name w:val="Caractères de note de fin"/>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FootnoteSymbol" w:customStyle="1">
    <w:name w:val="Footnote Symbol"/>
    <w:qFormat/>
    <w:rPr/>
  </w:style>
  <w:style w:type="character" w:styleId="Hyperlink">
    <w:name w:val="Hyperlink"/>
    <w:basedOn w:val="DefaultParagraphFont"/>
    <w:rPr>
      <w:color w:val="0000FF"/>
      <w:u w:val="single"/>
    </w:rPr>
  </w:style>
  <w:style w:type="character" w:styleId="Internetlink" w:customStyle="1">
    <w:name w:val="Internet link"/>
    <w:qFormat/>
    <w:rPr>
      <w:color w:val="000080"/>
      <w:u w:val="single"/>
    </w:rPr>
  </w:style>
  <w:style w:type="paragraph" w:styleId="Titre" w:customStyle="1">
    <w:name w:val="Titre"/>
    <w:basedOn w:val="Standard"/>
    <w:next w:val="BodyText"/>
    <w:qFormat/>
    <w:pPr>
      <w:keepNext w:val="true"/>
      <w:spacing w:before="240" w:after="120"/>
    </w:pPr>
    <w:rPr>
      <w:rFont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eastAsia="Liberation Sans"/>
    </w:rPr>
  </w:style>
  <w:style w:type="paragraph" w:styleId="Caption">
    <w:name w:val="Caption"/>
    <w:basedOn w:val="Standard"/>
    <w:qFormat/>
    <w:pPr>
      <w:suppressLineNumbers/>
      <w:spacing w:before="120" w:after="120"/>
    </w:pPr>
    <w:rPr>
      <w:rFonts w:eastAsia="Liberation Sans"/>
      <w:i/>
      <w:iCs/>
    </w:rPr>
  </w:style>
  <w:style w:type="paragraph" w:styleId="Index" w:customStyle="1">
    <w:name w:val="Index"/>
    <w:basedOn w:val="Standard"/>
    <w:qFormat/>
    <w:pPr>
      <w:suppressLineNumbers/>
    </w:pPr>
    <w:rPr>
      <w:rFonts w:eastAsia="Liberation Sans"/>
    </w:rPr>
  </w:style>
  <w:style w:type="paragraph" w:styleId="NoSpacing">
    <w:name w:val="No Spacing"/>
    <w:uiPriority w:val="1"/>
    <w:qFormat/>
    <w:pPr>
      <w:widowControl w:val="false"/>
      <w:bidi w:val="0"/>
      <w:spacing w:lineRule="auto" w:line="240" w:before="0" w:after="0"/>
      <w:jc w:val="left"/>
    </w:pPr>
    <w:rPr>
      <w:rFonts w:ascii="Liberation Sans" w:hAnsi="Liberation Sans" w:eastAsia="SimSun" w:cs="Mangal"/>
      <w:color w:val="auto"/>
      <w:kern w:val="0"/>
      <w:sz w:val="24"/>
      <w:szCs w:val="24"/>
      <w:lang w:val="fr-FR" w:eastAsia="zh-CN" w:bidi="hi-IN"/>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Titre"/>
    <w:pPr/>
    <w:rPr/>
  </w:style>
  <w:style w:type="paragraph" w:styleId="TOCHeading">
    <w:name w:val="TOC Heading"/>
    <w:uiPriority w:val="39"/>
    <w:unhideWhenUsed/>
    <w:qFormat/>
    <w:pPr>
      <w:widowControl w:val="false"/>
      <w:bidi w:val="0"/>
      <w:spacing w:before="0" w:after="0"/>
      <w:jc w:val="left"/>
    </w:pPr>
    <w:rPr>
      <w:rFonts w:ascii="Liberation Sans" w:hAnsi="Liberation Sans" w:eastAsia="SimSun" w:cs="Mangal"/>
      <w:color w:val="auto"/>
      <w:kern w:val="0"/>
      <w:sz w:val="24"/>
      <w:szCs w:val="24"/>
      <w:lang w:val="fr-FR" w:eastAsia="zh-CN" w:bidi="hi-IN"/>
    </w:rPr>
  </w:style>
  <w:style w:type="paragraph" w:styleId="TableofFigures">
    <w:name w:val="Table of Figures"/>
    <w:basedOn w:val="Normal"/>
    <w:uiPriority w:val="99"/>
    <w:unhideWhenUsed/>
    <w:pPr>
      <w:spacing w:before="0" w:afterAutospacing="0" w:after="0"/>
    </w:pPr>
    <w:rPr/>
  </w:style>
  <w:style w:type="paragraph" w:styleId="Standard" w:customStyle="1">
    <w:name w:val="Standard"/>
    <w:qFormat/>
    <w:pPr>
      <w:widowControl w:val="false"/>
      <w:bidi w:val="0"/>
      <w:spacing w:before="0" w:after="0"/>
      <w:jc w:val="left"/>
    </w:pPr>
    <w:rPr>
      <w:rFonts w:ascii="Liberation Sans" w:hAnsi="Liberation Sans" w:eastAsia="SimSun" w:cs="Mangal"/>
      <w:color w:val="auto"/>
      <w:kern w:val="0"/>
      <w:sz w:val="24"/>
      <w:szCs w:val="24"/>
      <w:lang w:val="fr-FR" w:eastAsia="zh-CN" w:bidi="hi-IN"/>
    </w:rPr>
  </w:style>
  <w:style w:type="paragraph" w:styleId="Textbody" w:customStyle="1">
    <w:name w:val="Text body"/>
    <w:basedOn w:val="Standard"/>
    <w:qFormat/>
    <w:pPr>
      <w:spacing w:before="0" w:after="120"/>
    </w:pPr>
    <w:rPr/>
  </w:style>
  <w:style w:type="paragraph" w:styleId="En-tteetpieddepage">
    <w:name w:val="En-tête et pied de page"/>
    <w:basedOn w:val="Normal"/>
    <w:qFormat/>
    <w:pPr/>
    <w:rPr/>
  </w:style>
  <w:style w:type="paragraph" w:styleId="Header">
    <w:name w:val="Header"/>
    <w:basedOn w:val="Standard"/>
    <w:pPr>
      <w:suppressLineNumbers/>
      <w:tabs>
        <w:tab w:val="clear" w:pos="720"/>
        <w:tab w:val="center" w:pos="4819" w:leader="none"/>
        <w:tab w:val="right" w:pos="9638" w:leader="none"/>
      </w:tabs>
    </w:pPr>
    <w:rPr/>
  </w:style>
  <w:style w:type="paragraph" w:styleId="Signature">
    <w:name w:val="Signature"/>
    <w:basedOn w:val="Standard"/>
    <w:pPr>
      <w:suppressLineNumbers/>
    </w:pPr>
    <w:rPr/>
  </w:style>
  <w:style w:type="paragraph" w:styleId="Footer">
    <w:name w:val="Footer"/>
    <w:basedOn w:val="Standard"/>
    <w:pPr>
      <w:suppressLineNumbers/>
      <w:tabs>
        <w:tab w:val="clear" w:pos="720"/>
        <w:tab w:val="center" w:pos="4819" w:leader="none"/>
        <w:tab w:val="right" w:pos="9638" w:leader="none"/>
      </w:tabs>
    </w:pPr>
    <w:rPr/>
  </w:style>
  <w:style w:type="paragraph" w:styleId="Footnote" w:customStyle="1">
    <w:name w:val="Footnote"/>
    <w:basedOn w:val="Standard"/>
    <w:qFormat/>
    <w:pPr>
      <w:suppressLineNumbers/>
      <w:ind w:hanging="339" w:left="339"/>
    </w:pPr>
    <w:rPr>
      <w:sz w:val="20"/>
      <w:szCs w:val="20"/>
    </w:rPr>
  </w:style>
  <w:style w:type="paragraph" w:styleId="Contenudetableau" w:customStyle="1">
    <w:name w:val="Contenu de tableau"/>
    <w:basedOn w:val="Standard"/>
    <w:qFormat/>
    <w:pPr>
      <w:suppressLineNumbers/>
    </w:pPr>
    <w:rPr/>
  </w:style>
  <w:style w:type="paragraph" w:styleId="TEXTEFIXE" w:customStyle="1">
    <w:name w:val="TEXTEFIXE"/>
    <w:basedOn w:val="Standard"/>
    <w:qFormat/>
    <w:pPr/>
    <w:rPr>
      <w:rFonts w:ascii="Arial" w:hAnsi="Arial" w:eastAsia="Arial" w:cs="Arial"/>
      <w:b/>
      <w:sz w:val="18"/>
      <w:szCs w:val="20"/>
    </w:rPr>
  </w:style>
  <w:style w:type="paragraph" w:styleId="ListParagraph">
    <w:name w:val="List Paragraph"/>
    <w:basedOn w:val="Normal"/>
    <w:qFormat/>
    <w:pPr>
      <w:ind w:left="720"/>
    </w:pPr>
    <w:rPr/>
  </w:style>
  <w:style w:type="paragraph" w:styleId="Contenudecadre" w:customStyle="1">
    <w:name w:val="Contenu de cadre"/>
    <w:basedOn w:val="Standard"/>
    <w:qFormat/>
    <w:pPr/>
    <w:rPr/>
  </w:style>
  <w:style w:type="paragraph" w:styleId="Titredetableau" w:customStyle="1">
    <w:name w:val="Titre de tableau"/>
    <w:basedOn w:val="Contenudetableau"/>
    <w:qFormat/>
    <w:pPr>
      <w:jc w:val="center"/>
    </w:pPr>
    <w:rPr>
      <w:b/>
      <w:bCs/>
    </w:rPr>
  </w:style>
  <w:style w:type="paragraph" w:styleId="Standard1" w:customStyle="1">
    <w:name w:val="Standard1"/>
    <w:qFormat/>
    <w:pPr>
      <w:widowControl w:val="false"/>
      <w:bidi w:val="0"/>
      <w:spacing w:before="0" w:after="0"/>
      <w:jc w:val="left"/>
    </w:pPr>
    <w:rPr>
      <w:rFonts w:cs="Liberation Sans" w:ascii="Liberation Sans" w:hAnsi="Liberation Sans" w:eastAsia="SimSun"/>
      <w:color w:val="auto"/>
      <w:kern w:val="0"/>
      <w:sz w:val="24"/>
      <w:szCs w:val="24"/>
      <w:lang w:val="fr-FR" w:eastAsia="zh-CN" w:bidi="hi-IN"/>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lwenn.petiton@cerema.fr" TargetMode="External"/><Relationship Id="rId3" Type="http://schemas.openxmlformats.org/officeDocument/2006/relationships/hyperlink" Target="mailto:beatrice.allemand@cerema.f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LibreOffice/7.6.5.2$Windows_X86_64 LibreOffice_project/38d5f62f85355c192ef5f1dd47c5c0c0c6d6598b</Application>
  <AppVersion>15.0000</AppVersion>
  <Pages>2</Pages>
  <Words>552</Words>
  <Characters>3200</Characters>
  <CharactersWithSpaces>3712</CharactersWithSpaces>
  <Paragraphs>53</Paragraphs>
  <Company>CEREMA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2024-05-14T12:17:25Z</dcterms:created>
  <dc:creator/>
  <dc:description>Rédigé par DAGEF- Service juridique-fiscalité-assurances</dc:description>
  <cp:keywords>Organisation</cp:keywords>
  <dc:language>fr-FR</dc:language>
  <cp:lastModifiedBy/>
  <cp:revision>1</cp:revision>
  <dc:subject>Organisation</dc:subject>
  <dc:title>Décision d'organisation du Cerema</dc:title>
</cp:coreProperties>
</file>

<file path=docProps/custom.xml><?xml version="1.0" encoding="utf-8"?>
<Properties xmlns="http://schemas.openxmlformats.org/officeDocument/2006/custom-properties" xmlns:vt="http://schemas.openxmlformats.org/officeDocument/2006/docPropsVTypes"/>
</file>