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011" w:rsidRDefault="006D3C68">
      <w:pPr>
        <w:pStyle w:val="Titre1"/>
        <w:jc w:val="right"/>
        <w:rPr>
          <w:sz w:val="24"/>
        </w:rPr>
      </w:pPr>
      <w:r>
        <w:rPr>
          <w:noProof/>
          <w:sz w:val="24"/>
        </w:rPr>
        <mc:AlternateContent>
          <mc:Choice Requires="wpg">
            <w:drawing>
              <wp:inline distT="0" distB="0" distL="0" distR="0">
                <wp:extent cx="1838325" cy="523875"/>
                <wp:effectExtent l="0" t="0" r="0" b="0"/>
                <wp:docPr id="1" name="Image 1" descr="http://envue.insa-lyon.fr/Logotype2014/img_logotype-gr/jpg/logo-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envue.insa-lyon.fr/Logotype2014/img_logotype-gr/jpg/logo-coul.jpg"/>
                        <pic:cNvPicPr>
                          <a:picLocks noChangeAspect="1"/>
                        </pic:cNvPicPr>
                      </pic:nvPicPr>
                      <pic:blipFill>
                        <a:blip r:embed="rId7"/>
                        <a:stretch/>
                      </pic:blipFill>
                      <pic:spPr bwMode="auto">
                        <a:xfrm>
                          <a:off x="0" y="0"/>
                          <a:ext cx="1838325" cy="5238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44.8pt;height:41.2pt;" stroked="f">
                <v:path textboxrect="0,0,0,0"/>
                <v:imagedata r:id="rId10" o:title=""/>
              </v:shape>
            </w:pict>
          </mc:Fallback>
        </mc:AlternateContent>
      </w:r>
      <w:r>
        <w:rPr>
          <w:sz w:val="24"/>
        </w:rPr>
        <w:t xml:space="preserve"> </w:t>
      </w:r>
      <w:r>
        <w:rPr>
          <w:sz w:val="24"/>
        </w:rPr>
        <w:tab/>
      </w:r>
      <w:r>
        <w:rPr>
          <w:sz w:val="24"/>
        </w:rPr>
        <w:tab/>
      </w:r>
      <w:r>
        <w:rPr>
          <w:sz w:val="24"/>
        </w:rPr>
        <w:tab/>
      </w:r>
      <w:r>
        <w:rPr>
          <w:sz w:val="24"/>
        </w:rPr>
        <w:tab/>
      </w:r>
      <w:r>
        <w:rPr>
          <w:sz w:val="24"/>
        </w:rPr>
        <w:tab/>
      </w:r>
      <w:r>
        <w:rPr>
          <w:szCs w:val="36"/>
        </w:rPr>
        <w:t>DRH / Pôle APP</w:t>
      </w:r>
    </w:p>
    <w:p w:rsidR="00100011" w:rsidRDefault="00100011">
      <w:pPr>
        <w:pStyle w:val="Titre1"/>
        <w:jc w:val="both"/>
        <w:rPr>
          <w:sz w:val="24"/>
        </w:rPr>
      </w:pPr>
    </w:p>
    <w:p w:rsidR="00100011" w:rsidRDefault="006D3C68">
      <w:pPr>
        <w:pStyle w:val="Titre1"/>
        <w:jc w:val="both"/>
        <w:rPr>
          <w:szCs w:val="36"/>
        </w:rPr>
      </w:pPr>
      <w:r>
        <w:rPr>
          <w:szCs w:val="36"/>
        </w:rPr>
        <w:t>Fiche de poste recrutement BIATSS</w:t>
      </w:r>
    </w:p>
    <w:p w:rsidR="00100011" w:rsidRDefault="00100011">
      <w:pPr>
        <w:jc w:val="both"/>
      </w:pPr>
    </w:p>
    <w:p w:rsidR="00100011" w:rsidRDefault="006D3C68">
      <w:pPr>
        <w:ind w:left="-567"/>
        <w:jc w:val="both"/>
      </w:pPr>
      <w:r>
        <w:rPr>
          <w:b/>
          <w:bCs/>
        </w:rPr>
        <w:t xml:space="preserve">Rédacteur de la demande : </w:t>
      </w:r>
    </w:p>
    <w:tbl>
      <w:tblPr>
        <w:tblW w:w="1046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5"/>
        <w:gridCol w:w="4678"/>
      </w:tblGrid>
      <w:tr w:rsidR="00100011">
        <w:tc>
          <w:tcPr>
            <w:tcW w:w="10463" w:type="dxa"/>
            <w:gridSpan w:val="2"/>
            <w:tcBorders>
              <w:bottom w:val="single" w:sz="4" w:space="0" w:color="auto"/>
            </w:tcBorders>
            <w:shd w:val="clear" w:color="auto" w:fill="C82C7E"/>
          </w:tcPr>
          <w:p w:rsidR="00100011" w:rsidRDefault="006D3C68">
            <w:pPr>
              <w:tabs>
                <w:tab w:val="left" w:pos="495"/>
                <w:tab w:val="center" w:pos="4536"/>
              </w:tabs>
              <w:jc w:val="both"/>
              <w:rPr>
                <w:b/>
                <w:bCs/>
              </w:rPr>
            </w:pPr>
            <w:r>
              <w:rPr>
                <w:b/>
                <w:bCs/>
              </w:rPr>
              <w:tab/>
            </w:r>
            <w:r>
              <w:rPr>
                <w:b/>
                <w:bCs/>
              </w:rPr>
              <w:tab/>
              <w:t>1- Description du poste :</w:t>
            </w:r>
          </w:p>
        </w:tc>
      </w:tr>
      <w:tr w:rsidR="00100011">
        <w:trPr>
          <w:cantSplit/>
          <w:trHeight w:val="345"/>
        </w:trPr>
        <w:tc>
          <w:tcPr>
            <w:tcW w:w="10463" w:type="dxa"/>
            <w:gridSpan w:val="2"/>
            <w:tcBorders>
              <w:top w:val="single" w:sz="4" w:space="0" w:color="auto"/>
              <w:left w:val="single" w:sz="4" w:space="0" w:color="auto"/>
              <w:bottom w:val="none" w:sz="4" w:space="0" w:color="000000"/>
              <w:right w:val="single" w:sz="4" w:space="0" w:color="auto"/>
            </w:tcBorders>
          </w:tcPr>
          <w:p w:rsidR="00100011" w:rsidRDefault="006D3C68">
            <w:pPr>
              <w:jc w:val="both"/>
              <w:rPr>
                <w:b/>
                <w:bCs/>
              </w:rPr>
            </w:pPr>
            <w:r>
              <w:rPr>
                <w:b/>
                <w:bCs/>
              </w:rPr>
              <w:t>Corps : ASI</w:t>
            </w:r>
          </w:p>
          <w:p w:rsidR="00100011" w:rsidRDefault="006D3C68">
            <w:pPr>
              <w:jc w:val="both"/>
              <w:rPr>
                <w:b/>
                <w:bCs/>
              </w:rPr>
            </w:pPr>
            <w:r>
              <w:rPr>
                <w:b/>
                <w:bCs/>
              </w:rPr>
              <w:t xml:space="preserve">Famille professionnelle (BAP et emploi type) : BAP F - </w:t>
            </w:r>
            <w:r>
              <w:rPr>
                <w:rStyle w:val="docdata"/>
                <w:b/>
                <w:bCs/>
                <w:color w:val="000000"/>
              </w:rPr>
              <w:t xml:space="preserve">F3A42 </w:t>
            </w:r>
            <w:r>
              <w:rPr>
                <w:b/>
                <w:bCs/>
                <w:color w:val="000000"/>
              </w:rPr>
              <w:t>assistant archiviste</w:t>
            </w:r>
          </w:p>
          <w:p w:rsidR="00100011" w:rsidRDefault="006D3C68">
            <w:pPr>
              <w:jc w:val="both"/>
              <w:rPr>
                <w:b/>
                <w:bCs/>
              </w:rPr>
            </w:pPr>
            <w:r>
              <w:rPr>
                <w:b/>
                <w:bCs/>
              </w:rPr>
              <w:t xml:space="preserve">Service/entité de rattachement : </w:t>
            </w:r>
            <w:r>
              <w:rPr>
                <w:bCs/>
              </w:rPr>
              <w:t>Pôle Management Documentaire et Archives</w:t>
            </w:r>
            <w:r>
              <w:rPr>
                <w:b/>
                <w:bCs/>
              </w:rPr>
              <w:t xml:space="preserve"> / </w:t>
            </w:r>
            <w:r>
              <w:rPr>
                <w:rStyle w:val="docdata"/>
                <w:color w:val="000000"/>
              </w:rPr>
              <w:t>Direction d’Aide au Pilotage et Amélioration Continue (Direction Générale des Services)</w:t>
            </w:r>
          </w:p>
        </w:tc>
      </w:tr>
      <w:tr w:rsidR="00100011">
        <w:trPr>
          <w:cantSplit/>
          <w:trHeight w:val="345"/>
        </w:trPr>
        <w:tc>
          <w:tcPr>
            <w:tcW w:w="10463" w:type="dxa"/>
            <w:gridSpan w:val="2"/>
            <w:tcBorders>
              <w:top w:val="none" w:sz="4" w:space="0" w:color="000000"/>
              <w:left w:val="single" w:sz="4" w:space="0" w:color="auto"/>
              <w:bottom w:val="none" w:sz="4" w:space="0" w:color="000000"/>
              <w:right w:val="single" w:sz="4" w:space="0" w:color="auto"/>
            </w:tcBorders>
          </w:tcPr>
          <w:p w:rsidR="00100011" w:rsidRDefault="006D3C68">
            <w:pPr>
              <w:jc w:val="both"/>
              <w:rPr>
                <w:b/>
                <w:bCs/>
              </w:rPr>
            </w:pPr>
            <w:r>
              <w:rPr>
                <w:b/>
                <w:bCs/>
              </w:rPr>
              <w:t xml:space="preserve">Lien hiérarchique : </w:t>
            </w:r>
            <w:r>
              <w:rPr>
                <w:iCs/>
              </w:rPr>
              <w:t xml:space="preserve">sous l’autorité du responsable du pôle Management Documentaire et Archives </w:t>
            </w:r>
          </w:p>
        </w:tc>
      </w:tr>
      <w:tr w:rsidR="00100011">
        <w:trPr>
          <w:cantSplit/>
          <w:trHeight w:val="345"/>
        </w:trPr>
        <w:tc>
          <w:tcPr>
            <w:tcW w:w="5785" w:type="dxa"/>
            <w:tcBorders>
              <w:top w:val="none" w:sz="4" w:space="0" w:color="000000"/>
              <w:left w:val="single" w:sz="4" w:space="0" w:color="auto"/>
              <w:bottom w:val="none" w:sz="4" w:space="0" w:color="000000"/>
              <w:right w:val="none" w:sz="4" w:space="0" w:color="000000"/>
            </w:tcBorders>
          </w:tcPr>
          <w:p w:rsidR="00100011" w:rsidRDefault="006D3C68">
            <w:pPr>
              <w:tabs>
                <w:tab w:val="left" w:pos="4935"/>
              </w:tabs>
              <w:ind w:right="-71"/>
              <w:jc w:val="both"/>
              <w:rPr>
                <w:iCs/>
              </w:rPr>
            </w:pPr>
            <w:r>
              <w:rPr>
                <w:b/>
                <w:bCs/>
              </w:rPr>
              <w:t xml:space="preserve">Quotité de service : </w:t>
            </w:r>
            <w:r w:rsidR="00485C06">
              <w:rPr>
                <w:b/>
                <w:bCs/>
              </w:rPr>
              <w:t>5</w:t>
            </w:r>
            <w:r w:rsidR="00EE3F99">
              <w:rPr>
                <w:iCs/>
              </w:rPr>
              <w:t>0%</w:t>
            </w:r>
          </w:p>
          <w:p w:rsidR="00EE3F99" w:rsidRDefault="00EE3F99">
            <w:pPr>
              <w:tabs>
                <w:tab w:val="left" w:pos="4935"/>
              </w:tabs>
              <w:ind w:right="-71"/>
              <w:jc w:val="both"/>
              <w:rPr>
                <w:b/>
                <w:bCs/>
              </w:rPr>
            </w:pPr>
            <w:r>
              <w:rPr>
                <w:b/>
                <w:bCs/>
              </w:rPr>
              <w:t xml:space="preserve">Période : </w:t>
            </w:r>
            <w:r w:rsidR="001B6FA0">
              <w:rPr>
                <w:b/>
                <w:bCs/>
              </w:rPr>
              <w:t>18 aout</w:t>
            </w:r>
            <w:r>
              <w:rPr>
                <w:b/>
                <w:bCs/>
              </w:rPr>
              <w:t xml:space="preserve"> </w:t>
            </w:r>
            <w:r w:rsidR="001B6FA0">
              <w:rPr>
                <w:b/>
                <w:bCs/>
              </w:rPr>
              <w:t>au 16 octobre (2 mois)</w:t>
            </w:r>
            <w:bookmarkStart w:id="0" w:name="_GoBack"/>
            <w:bookmarkEnd w:id="0"/>
          </w:p>
        </w:tc>
        <w:tc>
          <w:tcPr>
            <w:tcW w:w="4678" w:type="dxa"/>
            <w:tcBorders>
              <w:top w:val="none" w:sz="4" w:space="0" w:color="000000"/>
              <w:left w:val="none" w:sz="4" w:space="0" w:color="000000"/>
              <w:bottom w:val="none" w:sz="4" w:space="0" w:color="000000"/>
              <w:right w:val="single" w:sz="4" w:space="0" w:color="auto"/>
            </w:tcBorders>
          </w:tcPr>
          <w:p w:rsidR="00100011" w:rsidRDefault="00100011">
            <w:pPr>
              <w:jc w:val="both"/>
              <w:rPr>
                <w:b/>
                <w:bCs/>
              </w:rPr>
            </w:pPr>
          </w:p>
        </w:tc>
      </w:tr>
      <w:tr w:rsidR="00100011">
        <w:trPr>
          <w:cantSplit/>
          <w:trHeight w:val="80"/>
        </w:trPr>
        <w:tc>
          <w:tcPr>
            <w:tcW w:w="10463" w:type="dxa"/>
            <w:gridSpan w:val="2"/>
            <w:tcBorders>
              <w:top w:val="none" w:sz="4" w:space="0" w:color="000000"/>
              <w:left w:val="single" w:sz="4" w:space="0" w:color="auto"/>
              <w:bottom w:val="single" w:sz="4" w:space="0" w:color="auto"/>
              <w:right w:val="single" w:sz="4" w:space="0" w:color="auto"/>
            </w:tcBorders>
          </w:tcPr>
          <w:p w:rsidR="00100011" w:rsidRDefault="00100011">
            <w:pPr>
              <w:jc w:val="both"/>
              <w:rPr>
                <w:b/>
                <w:bCs/>
              </w:rPr>
            </w:pPr>
          </w:p>
        </w:tc>
      </w:tr>
      <w:tr w:rsidR="00100011">
        <w:tc>
          <w:tcPr>
            <w:tcW w:w="10463" w:type="dxa"/>
            <w:gridSpan w:val="2"/>
            <w:tcBorders>
              <w:top w:val="single" w:sz="4" w:space="0" w:color="auto"/>
              <w:left w:val="none" w:sz="4" w:space="0" w:color="000000"/>
              <w:bottom w:val="single" w:sz="4" w:space="0" w:color="auto"/>
              <w:right w:val="none" w:sz="4" w:space="0" w:color="000000"/>
            </w:tcBorders>
          </w:tcPr>
          <w:p w:rsidR="00100011" w:rsidRDefault="00100011">
            <w:pPr>
              <w:jc w:val="both"/>
              <w:rPr>
                <w:b/>
                <w:bCs/>
              </w:rPr>
            </w:pPr>
          </w:p>
        </w:tc>
      </w:tr>
      <w:tr w:rsidR="00100011">
        <w:tc>
          <w:tcPr>
            <w:tcW w:w="10463" w:type="dxa"/>
            <w:gridSpan w:val="2"/>
            <w:tcBorders>
              <w:top w:val="single" w:sz="4" w:space="0" w:color="auto"/>
            </w:tcBorders>
            <w:shd w:val="clear" w:color="auto" w:fill="C82C7E"/>
          </w:tcPr>
          <w:p w:rsidR="00100011" w:rsidRDefault="006D3C68">
            <w:pPr>
              <w:tabs>
                <w:tab w:val="left" w:pos="495"/>
                <w:tab w:val="center" w:pos="4536"/>
              </w:tabs>
              <w:jc w:val="both"/>
              <w:rPr>
                <w:b/>
                <w:bCs/>
              </w:rPr>
            </w:pPr>
            <w:r>
              <w:rPr>
                <w:b/>
                <w:bCs/>
              </w:rPr>
              <w:t>2- Présentation du poste :</w:t>
            </w:r>
          </w:p>
        </w:tc>
      </w:tr>
      <w:tr w:rsidR="00100011">
        <w:tc>
          <w:tcPr>
            <w:tcW w:w="10463" w:type="dxa"/>
            <w:gridSpan w:val="2"/>
          </w:tcPr>
          <w:p w:rsidR="00100011" w:rsidRDefault="006D3C68">
            <w:pPr>
              <w:jc w:val="both"/>
              <w:rPr>
                <w:b/>
                <w:bCs/>
                <w:u w:val="single"/>
              </w:rPr>
            </w:pPr>
            <w:r>
              <w:rPr>
                <w:b/>
                <w:bCs/>
                <w:u w:val="single"/>
              </w:rPr>
              <w:t xml:space="preserve">Intitulé du poste : </w:t>
            </w:r>
            <w:r>
              <w:rPr>
                <w:b/>
                <w:bCs/>
              </w:rPr>
              <w:t>Assistant-archiviste</w:t>
            </w:r>
          </w:p>
        </w:tc>
      </w:tr>
      <w:tr w:rsidR="00100011">
        <w:tc>
          <w:tcPr>
            <w:tcW w:w="10463" w:type="dxa"/>
            <w:gridSpan w:val="2"/>
          </w:tcPr>
          <w:p w:rsidR="00100011" w:rsidRDefault="00100011">
            <w:pPr>
              <w:jc w:val="both"/>
              <w:rPr>
                <w:b/>
                <w:bCs/>
                <w:u w:val="single"/>
              </w:rPr>
            </w:pPr>
          </w:p>
          <w:p w:rsidR="00100011" w:rsidRDefault="006D3C68">
            <w:pPr>
              <w:jc w:val="both"/>
              <w:rPr>
                <w:b/>
                <w:bCs/>
                <w:u w:val="single"/>
              </w:rPr>
            </w:pPr>
            <w:r>
              <w:rPr>
                <w:b/>
                <w:bCs/>
                <w:u w:val="single"/>
              </w:rPr>
              <w:t>Mission et contexte :</w:t>
            </w:r>
          </w:p>
          <w:p w:rsidR="00100011" w:rsidRDefault="00100011">
            <w:pPr>
              <w:jc w:val="both"/>
              <w:rPr>
                <w:color w:val="000000"/>
              </w:rPr>
            </w:pPr>
          </w:p>
          <w:p w:rsidR="00100011" w:rsidRDefault="006D3C68">
            <w:pPr>
              <w:jc w:val="both"/>
              <w:rPr>
                <w:bCs/>
              </w:rPr>
            </w:pPr>
            <w:r>
              <w:rPr>
                <w:bCs/>
              </w:rPr>
              <w:t>Au sein de l’INSA Lyon, la direction de l’aide au pilotage et amélioration continue apporte à la Gouvernance une véritable aide au pilotage dans l’ensemble de ses choix stratégiques et est un outil d’amélioration continue transversal. Au niveau de l’organisation, elle apporte un appui à la direction générale des Services dans la traduction organisationnelle des missions. La DAPAC porte également la politique qualité amélioration continue qu’elle déploie sur l’ensemble de l’Établissement selon le plan d’action stratégique arrêté par la Direction. La DAPAC fournit également des analyses de données et des analyses prospectives pour des prises de décisions objectivées, selon une logique de coûts complets grâce au contrôle de gestion. Elle porte également la sécurisation et la traçabilité des documents et pour permettre un véritable archivage grâce au pôle Management documentaire et archives.</w:t>
            </w:r>
          </w:p>
          <w:p w:rsidR="00100011" w:rsidRDefault="006D3C68">
            <w:pPr>
              <w:jc w:val="both"/>
              <w:rPr>
                <w:bCs/>
              </w:rPr>
            </w:pPr>
            <w:r>
              <w:rPr>
                <w:bCs/>
              </w:rPr>
              <w:t xml:space="preserve">La DAPAC est actuellement composée de </w:t>
            </w:r>
            <w:r w:rsidR="00EE3F99">
              <w:rPr>
                <w:bCs/>
              </w:rPr>
              <w:t>9</w:t>
            </w:r>
            <w:r>
              <w:rPr>
                <w:bCs/>
              </w:rPr>
              <w:t xml:space="preserve"> personnes : la directrice, la contrôleuse de</w:t>
            </w:r>
            <w:r w:rsidR="00EE3F99">
              <w:rPr>
                <w:bCs/>
              </w:rPr>
              <w:t xml:space="preserve"> gestion</w:t>
            </w:r>
            <w:r>
              <w:rPr>
                <w:bCs/>
              </w:rPr>
              <w:t xml:space="preserve">, le responsable du pôle management documentaire et archives et sa collaboratrice, le responsable du pôle qualité et amélioration continue, une chargée organisation et qualité </w:t>
            </w:r>
            <w:r w:rsidR="00EE3F99">
              <w:rPr>
                <w:bCs/>
              </w:rPr>
              <w:t>ainsi que</w:t>
            </w:r>
            <w:r>
              <w:rPr>
                <w:bCs/>
              </w:rPr>
              <w:t xml:space="preserve"> le responsable du système d’informations décisionnel</w:t>
            </w:r>
            <w:r w:rsidR="00EE3F99">
              <w:rPr>
                <w:bCs/>
              </w:rPr>
              <w:t xml:space="preserve"> et son collaborateur</w:t>
            </w:r>
            <w:r>
              <w:rPr>
                <w:bCs/>
              </w:rPr>
              <w:t>.</w:t>
            </w:r>
          </w:p>
          <w:p w:rsidR="00100011" w:rsidRDefault="00EE3F99">
            <w:pPr>
              <w:jc w:val="both"/>
              <w:rPr>
                <w:bCs/>
              </w:rPr>
            </w:pPr>
            <w:r>
              <w:rPr>
                <w:bCs/>
              </w:rPr>
              <w:t>Pour pallier à la période de congé maternité de l’assistante archiviste en poste, la DAPAC souhaite recruter un contrat de 4 mois, pour assurer une continuité dans l’activité et les missions du pôle Management Documentaire et Archives.</w:t>
            </w:r>
          </w:p>
          <w:p w:rsidR="00100011" w:rsidRDefault="00100011">
            <w:pPr>
              <w:jc w:val="both"/>
              <w:rPr>
                <w:b/>
                <w:bCs/>
              </w:rPr>
            </w:pPr>
          </w:p>
          <w:p w:rsidR="00100011" w:rsidRDefault="00100011">
            <w:pPr>
              <w:jc w:val="both"/>
              <w:rPr>
                <w:b/>
                <w:bCs/>
              </w:rPr>
            </w:pPr>
          </w:p>
          <w:p w:rsidR="00100011" w:rsidRDefault="00100011">
            <w:pPr>
              <w:jc w:val="both"/>
              <w:rPr>
                <w:b/>
                <w:bCs/>
              </w:rPr>
            </w:pPr>
          </w:p>
        </w:tc>
      </w:tr>
      <w:tr w:rsidR="00100011">
        <w:tc>
          <w:tcPr>
            <w:tcW w:w="10463" w:type="dxa"/>
            <w:gridSpan w:val="2"/>
          </w:tcPr>
          <w:p w:rsidR="00100011" w:rsidRDefault="006D3C68">
            <w:pPr>
              <w:jc w:val="both"/>
              <w:rPr>
                <w:i/>
                <w:iCs/>
                <w:u w:val="single"/>
              </w:rPr>
            </w:pPr>
            <w:r>
              <w:rPr>
                <w:b/>
                <w:bCs/>
                <w:u w:val="single"/>
              </w:rPr>
              <w:t>Activités et tâches principale(s)</w:t>
            </w:r>
            <w:r>
              <w:rPr>
                <w:u w:val="single"/>
              </w:rPr>
              <w:t xml:space="preserve"> : </w:t>
            </w:r>
          </w:p>
          <w:p w:rsidR="005473AE" w:rsidRPr="005473AE" w:rsidRDefault="005473AE" w:rsidP="005473AE">
            <w:pPr>
              <w:pStyle w:val="Paragraphedeliste"/>
              <w:numPr>
                <w:ilvl w:val="0"/>
                <w:numId w:val="6"/>
              </w:numPr>
              <w:jc w:val="both"/>
              <w:rPr>
                <w:bCs/>
              </w:rPr>
            </w:pPr>
            <w:r w:rsidRPr="005473AE">
              <w:rPr>
                <w:bCs/>
              </w:rPr>
              <w:t>Préparation de déménagements d'archives</w:t>
            </w:r>
          </w:p>
          <w:p w:rsidR="005473AE" w:rsidRPr="005473AE" w:rsidRDefault="005473AE" w:rsidP="005473AE">
            <w:pPr>
              <w:pStyle w:val="Paragraphedeliste"/>
              <w:numPr>
                <w:ilvl w:val="0"/>
                <w:numId w:val="6"/>
              </w:numPr>
              <w:jc w:val="both"/>
              <w:rPr>
                <w:bCs/>
              </w:rPr>
            </w:pPr>
            <w:r w:rsidRPr="005473AE">
              <w:rPr>
                <w:bCs/>
              </w:rPr>
              <w:t>Poursuite de l’accompagnement des entités dans le projet de dématérialisation du dossier étudiant (projet qui doit être mis en place à la rentrée 2026)</w:t>
            </w:r>
          </w:p>
          <w:p w:rsidR="005473AE" w:rsidRPr="005473AE" w:rsidRDefault="005473AE" w:rsidP="005473AE">
            <w:pPr>
              <w:pStyle w:val="Paragraphedeliste"/>
              <w:numPr>
                <w:ilvl w:val="0"/>
                <w:numId w:val="6"/>
              </w:numPr>
              <w:jc w:val="both"/>
              <w:rPr>
                <w:bCs/>
              </w:rPr>
            </w:pPr>
            <w:r w:rsidRPr="005473AE">
              <w:rPr>
                <w:bCs/>
              </w:rPr>
              <w:t>Appui à la chargée d’archives pour le tri et l’inventaire des salles archives des entités</w:t>
            </w:r>
          </w:p>
          <w:p w:rsidR="005473AE" w:rsidRPr="005473AE" w:rsidRDefault="005473AE" w:rsidP="005473AE">
            <w:pPr>
              <w:pStyle w:val="Paragraphedeliste"/>
              <w:numPr>
                <w:ilvl w:val="0"/>
                <w:numId w:val="6"/>
              </w:numPr>
              <w:jc w:val="both"/>
              <w:rPr>
                <w:bCs/>
              </w:rPr>
            </w:pPr>
            <w:r w:rsidRPr="005473AE">
              <w:rPr>
                <w:bCs/>
              </w:rPr>
              <w:t>Gestion des éliminations papier et numériques en conformité avec la réglementation</w:t>
            </w:r>
          </w:p>
          <w:p w:rsidR="005473AE" w:rsidRPr="005473AE" w:rsidRDefault="005473AE" w:rsidP="005473AE">
            <w:pPr>
              <w:pStyle w:val="Paragraphedeliste"/>
              <w:numPr>
                <w:ilvl w:val="0"/>
                <w:numId w:val="6"/>
              </w:numPr>
              <w:jc w:val="both"/>
              <w:rPr>
                <w:bCs/>
              </w:rPr>
            </w:pPr>
            <w:r w:rsidRPr="005473AE">
              <w:rPr>
                <w:bCs/>
              </w:rPr>
              <w:t>Lancement et suivi des demandes inscrites au budget 2025 (aménagement salle archives d'Alembert, installation système surveillance hygrométrie)</w:t>
            </w:r>
          </w:p>
          <w:p w:rsidR="00100011" w:rsidRDefault="00100011">
            <w:pPr>
              <w:jc w:val="both"/>
              <w:rPr>
                <w:i/>
                <w:iCs/>
              </w:rPr>
            </w:pPr>
          </w:p>
          <w:p w:rsidR="00100011" w:rsidRDefault="00100011">
            <w:pPr>
              <w:jc w:val="both"/>
            </w:pPr>
          </w:p>
        </w:tc>
      </w:tr>
      <w:tr w:rsidR="00100011">
        <w:tc>
          <w:tcPr>
            <w:tcW w:w="10463" w:type="dxa"/>
            <w:gridSpan w:val="2"/>
          </w:tcPr>
          <w:p w:rsidR="00100011" w:rsidRDefault="006D3C68">
            <w:pPr>
              <w:jc w:val="both"/>
              <w:rPr>
                <w:i/>
                <w:iCs/>
              </w:rPr>
            </w:pPr>
            <w:r>
              <w:rPr>
                <w:b/>
                <w:bCs/>
                <w:u w:val="single"/>
              </w:rPr>
              <w:t>Compétences et qualités requises :</w:t>
            </w:r>
            <w:r>
              <w:rPr>
                <w:i/>
                <w:iCs/>
              </w:rPr>
              <w:t xml:space="preserve"> </w:t>
            </w:r>
          </w:p>
          <w:p w:rsidR="00100011" w:rsidRDefault="00100011">
            <w:pPr>
              <w:jc w:val="both"/>
              <w:rPr>
                <w:i/>
                <w:iCs/>
              </w:rPr>
            </w:pPr>
          </w:p>
          <w:p w:rsidR="00100011" w:rsidRDefault="006D3C68">
            <w:pPr>
              <w:jc w:val="both"/>
              <w:rPr>
                <w:b/>
                <w:bCs/>
              </w:rPr>
            </w:pPr>
            <w:r>
              <w:rPr>
                <w:b/>
                <w:bCs/>
              </w:rPr>
              <w:t>Savoirs généraux, théoriques ou disciplinaires :</w:t>
            </w:r>
          </w:p>
          <w:p w:rsidR="00100011" w:rsidRDefault="006D3C68">
            <w:pPr>
              <w:jc w:val="both"/>
              <w:rPr>
                <w:bCs/>
              </w:rPr>
            </w:pPr>
            <w:r>
              <w:rPr>
                <w:bCs/>
              </w:rPr>
              <w:t>Appétence pour le numérique</w:t>
            </w:r>
          </w:p>
          <w:p w:rsidR="00100011" w:rsidRDefault="006D3C68">
            <w:pPr>
              <w:jc w:val="both"/>
              <w:rPr>
                <w:bCs/>
              </w:rPr>
            </w:pPr>
            <w:r>
              <w:rPr>
                <w:bCs/>
              </w:rPr>
              <w:lastRenderedPageBreak/>
              <w:t xml:space="preserve">Connaissance des méthodes et outils d’archivage </w:t>
            </w:r>
            <w:r w:rsidR="005473AE">
              <w:rPr>
                <w:bCs/>
              </w:rPr>
              <w:t xml:space="preserve">papier et </w:t>
            </w:r>
            <w:r>
              <w:rPr>
                <w:bCs/>
              </w:rPr>
              <w:t>numérique</w:t>
            </w:r>
          </w:p>
          <w:p w:rsidR="00100011" w:rsidRDefault="006D3C68">
            <w:pPr>
              <w:jc w:val="both"/>
              <w:rPr>
                <w:bCs/>
              </w:rPr>
            </w:pPr>
            <w:r>
              <w:rPr>
                <w:bCs/>
              </w:rPr>
              <w:t>Connaissance des normes de description archivistique.</w:t>
            </w:r>
          </w:p>
          <w:p w:rsidR="00100011" w:rsidRDefault="006D3C68">
            <w:pPr>
              <w:jc w:val="both"/>
              <w:rPr>
                <w:bCs/>
              </w:rPr>
            </w:pPr>
            <w:r>
              <w:rPr>
                <w:bCs/>
              </w:rPr>
              <w:t>Maîtrise des règles de gestion des archives publiques courantes, intermédiaires et définitives</w:t>
            </w:r>
            <w:r w:rsidR="00B35AA5">
              <w:rPr>
                <w:bCs/>
              </w:rPr>
              <w:t>.</w:t>
            </w:r>
          </w:p>
          <w:p w:rsidR="00100011" w:rsidRDefault="006D3C68">
            <w:pPr>
              <w:jc w:val="both"/>
              <w:rPr>
                <w:bCs/>
              </w:rPr>
            </w:pPr>
            <w:r>
              <w:rPr>
                <w:bCs/>
              </w:rPr>
              <w:t>Connaissance générale de la déontologie du métier</w:t>
            </w:r>
            <w:r w:rsidR="00B35AA5">
              <w:rPr>
                <w:bCs/>
              </w:rPr>
              <w:t>.</w:t>
            </w:r>
          </w:p>
          <w:p w:rsidR="00100011" w:rsidRDefault="00100011">
            <w:pPr>
              <w:jc w:val="both"/>
              <w:rPr>
                <w:bCs/>
              </w:rPr>
            </w:pPr>
          </w:p>
          <w:p w:rsidR="00100011" w:rsidRDefault="006D3C68">
            <w:pPr>
              <w:jc w:val="both"/>
              <w:rPr>
                <w:b/>
                <w:bCs/>
              </w:rPr>
            </w:pPr>
            <w:r>
              <w:rPr>
                <w:b/>
                <w:bCs/>
              </w:rPr>
              <w:t xml:space="preserve">Savoir-faire opérationnels : </w:t>
            </w:r>
          </w:p>
          <w:p w:rsidR="00100011" w:rsidRDefault="006D3C68">
            <w:pPr>
              <w:jc w:val="both"/>
              <w:rPr>
                <w:bCs/>
              </w:rPr>
            </w:pPr>
            <w:r>
              <w:rPr>
                <w:bCs/>
              </w:rPr>
              <w:t xml:space="preserve">Maîtriser les </w:t>
            </w:r>
            <w:r w:rsidR="00B35AA5">
              <w:rPr>
                <w:bCs/>
              </w:rPr>
              <w:t>principes de gestion des données numériques (arborescence, nommage)</w:t>
            </w:r>
          </w:p>
          <w:p w:rsidR="00100011" w:rsidRDefault="006D3C68">
            <w:pPr>
              <w:jc w:val="both"/>
              <w:rPr>
                <w:bCs/>
              </w:rPr>
            </w:pPr>
            <w:r>
              <w:rPr>
                <w:bCs/>
              </w:rPr>
              <w:t xml:space="preserve">Rédiger </w:t>
            </w:r>
            <w:r w:rsidR="00B35AA5">
              <w:rPr>
                <w:bCs/>
              </w:rPr>
              <w:t>des</w:t>
            </w:r>
            <w:r>
              <w:rPr>
                <w:bCs/>
              </w:rPr>
              <w:t xml:space="preserve"> bordereaux d’élimination.</w:t>
            </w:r>
          </w:p>
          <w:p w:rsidR="00100011" w:rsidRDefault="006D3C68">
            <w:pPr>
              <w:jc w:val="both"/>
              <w:rPr>
                <w:bCs/>
              </w:rPr>
            </w:pPr>
            <w:r>
              <w:rPr>
                <w:bCs/>
              </w:rPr>
              <w:t>Sensibiliser les services producteurs à la gestion de leurs archives.</w:t>
            </w:r>
          </w:p>
          <w:p w:rsidR="00100011" w:rsidRDefault="00100011">
            <w:pPr>
              <w:jc w:val="both"/>
              <w:rPr>
                <w:b/>
                <w:bCs/>
              </w:rPr>
            </w:pPr>
          </w:p>
          <w:p w:rsidR="00100011" w:rsidRDefault="00100011">
            <w:pPr>
              <w:jc w:val="both"/>
              <w:rPr>
                <w:b/>
                <w:bCs/>
              </w:rPr>
            </w:pPr>
          </w:p>
          <w:p w:rsidR="00100011" w:rsidRDefault="006D3C68">
            <w:pPr>
              <w:jc w:val="both"/>
              <w:rPr>
                <w:bCs/>
                <w:i/>
              </w:rPr>
            </w:pPr>
            <w:r>
              <w:rPr>
                <w:b/>
                <w:bCs/>
                <w:u w:val="single"/>
              </w:rPr>
              <w:t>Diplôme souhaité :</w:t>
            </w:r>
          </w:p>
          <w:p w:rsidR="00100011" w:rsidRDefault="006D3C68">
            <w:pPr>
              <w:jc w:val="both"/>
              <w:rPr>
                <w:i/>
              </w:rPr>
            </w:pPr>
            <w:r>
              <w:rPr>
                <w:bCs/>
              </w:rPr>
              <w:t>Niveau licence ou master en archivistique</w:t>
            </w:r>
          </w:p>
          <w:p w:rsidR="00100011" w:rsidRDefault="00100011">
            <w:pPr>
              <w:jc w:val="both"/>
              <w:rPr>
                <w:bCs/>
                <w:i/>
              </w:rPr>
            </w:pPr>
          </w:p>
          <w:p w:rsidR="00100011" w:rsidRDefault="006D3C68">
            <w:pPr>
              <w:jc w:val="both"/>
              <w:rPr>
                <w:i/>
                <w:iCs/>
              </w:rPr>
            </w:pPr>
            <w:r>
              <w:rPr>
                <w:b/>
                <w:bCs/>
                <w:u w:val="single"/>
              </w:rPr>
              <w:t xml:space="preserve">Expérience souhaitée : </w:t>
            </w:r>
          </w:p>
          <w:p w:rsidR="00100011" w:rsidRDefault="006D3C68">
            <w:pPr>
              <w:jc w:val="both"/>
            </w:pPr>
            <w:r>
              <w:rPr>
                <w:iCs/>
              </w:rPr>
              <w:t>Débutants acceptés</w:t>
            </w:r>
          </w:p>
          <w:p w:rsidR="00100011" w:rsidRDefault="00100011">
            <w:pPr>
              <w:jc w:val="both"/>
              <w:rPr>
                <w:b/>
                <w:bCs/>
                <w:u w:val="single"/>
              </w:rPr>
            </w:pPr>
          </w:p>
          <w:p w:rsidR="00100011" w:rsidRDefault="006D3C68">
            <w:pPr>
              <w:jc w:val="both"/>
              <w:rPr>
                <w:bCs/>
                <w:i/>
              </w:rPr>
            </w:pPr>
            <w:r>
              <w:rPr>
                <w:b/>
                <w:bCs/>
                <w:u w:val="single"/>
              </w:rPr>
              <w:t>Spécificités :</w:t>
            </w:r>
          </w:p>
          <w:p w:rsidR="00100011" w:rsidRDefault="006D3C68">
            <w:pPr>
              <w:jc w:val="both"/>
            </w:pPr>
            <w:r>
              <w:rPr>
                <w:iCs/>
              </w:rPr>
              <w:t>Travail dans des locaux archives parfois poussiéreux et encombrés. Port de charge occasionnel.</w:t>
            </w:r>
          </w:p>
          <w:p w:rsidR="00100011" w:rsidRDefault="00100011">
            <w:pPr>
              <w:jc w:val="both"/>
              <w:rPr>
                <w:b/>
                <w:bCs/>
              </w:rPr>
            </w:pPr>
          </w:p>
        </w:tc>
      </w:tr>
    </w:tbl>
    <w:p w:rsidR="00100011" w:rsidRDefault="00100011" w:rsidP="00034C75">
      <w:pPr>
        <w:ind w:left="4956" w:firstLine="708"/>
        <w:jc w:val="both"/>
        <w:rPr>
          <w:b/>
          <w:bCs/>
        </w:rPr>
      </w:pPr>
    </w:p>
    <w:sectPr w:rsidR="001000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C68" w:rsidRDefault="006D3C68">
      <w:r>
        <w:separator/>
      </w:r>
    </w:p>
  </w:endnote>
  <w:endnote w:type="continuationSeparator" w:id="0">
    <w:p w:rsidR="006D3C68" w:rsidRDefault="006D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C68" w:rsidRDefault="006D3C68">
      <w:r>
        <w:separator/>
      </w:r>
    </w:p>
  </w:footnote>
  <w:footnote w:type="continuationSeparator" w:id="0">
    <w:p w:rsidR="006D3C68" w:rsidRDefault="006D3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1036"/>
    <w:multiLevelType w:val="hybridMultilevel"/>
    <w:tmpl w:val="2E747EE0"/>
    <w:lvl w:ilvl="0" w:tplc="EBDC2038">
      <w:start w:val="1"/>
      <w:numFmt w:val="bullet"/>
      <w:lvlText w:val=""/>
      <w:lvlJc w:val="left"/>
      <w:pPr>
        <w:ind w:left="720" w:hanging="360"/>
      </w:pPr>
      <w:rPr>
        <w:rFonts w:ascii="Symbol" w:hAnsi="Symbol" w:hint="default"/>
      </w:rPr>
    </w:lvl>
    <w:lvl w:ilvl="1" w:tplc="81924392">
      <w:start w:val="1"/>
      <w:numFmt w:val="bullet"/>
      <w:lvlText w:val="o"/>
      <w:lvlJc w:val="left"/>
      <w:pPr>
        <w:ind w:left="1440" w:hanging="360"/>
      </w:pPr>
      <w:rPr>
        <w:rFonts w:ascii="Courier New" w:hAnsi="Courier New" w:cs="Courier New" w:hint="default"/>
      </w:rPr>
    </w:lvl>
    <w:lvl w:ilvl="2" w:tplc="8A1CF6C2">
      <w:start w:val="1"/>
      <w:numFmt w:val="bullet"/>
      <w:lvlText w:val=""/>
      <w:lvlJc w:val="left"/>
      <w:pPr>
        <w:ind w:left="2160" w:hanging="360"/>
      </w:pPr>
      <w:rPr>
        <w:rFonts w:ascii="Wingdings" w:hAnsi="Wingdings" w:hint="default"/>
      </w:rPr>
    </w:lvl>
    <w:lvl w:ilvl="3" w:tplc="353470AA">
      <w:start w:val="1"/>
      <w:numFmt w:val="bullet"/>
      <w:lvlText w:val=""/>
      <w:lvlJc w:val="left"/>
      <w:pPr>
        <w:ind w:left="2880" w:hanging="360"/>
      </w:pPr>
      <w:rPr>
        <w:rFonts w:ascii="Symbol" w:hAnsi="Symbol" w:hint="default"/>
      </w:rPr>
    </w:lvl>
    <w:lvl w:ilvl="4" w:tplc="C30655F0">
      <w:start w:val="1"/>
      <w:numFmt w:val="bullet"/>
      <w:lvlText w:val="o"/>
      <w:lvlJc w:val="left"/>
      <w:pPr>
        <w:ind w:left="3600" w:hanging="360"/>
      </w:pPr>
      <w:rPr>
        <w:rFonts w:ascii="Courier New" w:hAnsi="Courier New" w:cs="Courier New" w:hint="default"/>
      </w:rPr>
    </w:lvl>
    <w:lvl w:ilvl="5" w:tplc="57EEBBCC">
      <w:start w:val="1"/>
      <w:numFmt w:val="bullet"/>
      <w:lvlText w:val=""/>
      <w:lvlJc w:val="left"/>
      <w:pPr>
        <w:ind w:left="4320" w:hanging="360"/>
      </w:pPr>
      <w:rPr>
        <w:rFonts w:ascii="Wingdings" w:hAnsi="Wingdings" w:hint="default"/>
      </w:rPr>
    </w:lvl>
    <w:lvl w:ilvl="6" w:tplc="1BC834C2">
      <w:start w:val="1"/>
      <w:numFmt w:val="bullet"/>
      <w:lvlText w:val=""/>
      <w:lvlJc w:val="left"/>
      <w:pPr>
        <w:ind w:left="5040" w:hanging="360"/>
      </w:pPr>
      <w:rPr>
        <w:rFonts w:ascii="Symbol" w:hAnsi="Symbol" w:hint="default"/>
      </w:rPr>
    </w:lvl>
    <w:lvl w:ilvl="7" w:tplc="671AAFEA">
      <w:start w:val="1"/>
      <w:numFmt w:val="bullet"/>
      <w:lvlText w:val="o"/>
      <w:lvlJc w:val="left"/>
      <w:pPr>
        <w:ind w:left="5760" w:hanging="360"/>
      </w:pPr>
      <w:rPr>
        <w:rFonts w:ascii="Courier New" w:hAnsi="Courier New" w:cs="Courier New" w:hint="default"/>
      </w:rPr>
    </w:lvl>
    <w:lvl w:ilvl="8" w:tplc="3084963E">
      <w:start w:val="1"/>
      <w:numFmt w:val="bullet"/>
      <w:lvlText w:val=""/>
      <w:lvlJc w:val="left"/>
      <w:pPr>
        <w:ind w:left="6480" w:hanging="360"/>
      </w:pPr>
      <w:rPr>
        <w:rFonts w:ascii="Wingdings" w:hAnsi="Wingdings" w:hint="default"/>
      </w:rPr>
    </w:lvl>
  </w:abstractNum>
  <w:abstractNum w:abstractNumId="1" w15:restartNumberingAfterBreak="0">
    <w:nsid w:val="1EFB2E46"/>
    <w:multiLevelType w:val="hybridMultilevel"/>
    <w:tmpl w:val="CCB0069C"/>
    <w:lvl w:ilvl="0" w:tplc="FCC4A404">
      <w:start w:val="1"/>
      <w:numFmt w:val="bullet"/>
      <w:lvlText w:val=""/>
      <w:lvlJc w:val="left"/>
      <w:pPr>
        <w:ind w:left="720" w:hanging="360"/>
      </w:pPr>
      <w:rPr>
        <w:rFonts w:ascii="Symbol" w:hAnsi="Symbol" w:hint="default"/>
      </w:rPr>
    </w:lvl>
    <w:lvl w:ilvl="1" w:tplc="CA44502A">
      <w:start w:val="1"/>
      <w:numFmt w:val="bullet"/>
      <w:lvlText w:val="o"/>
      <w:lvlJc w:val="left"/>
      <w:pPr>
        <w:ind w:left="1440" w:hanging="360"/>
      </w:pPr>
      <w:rPr>
        <w:rFonts w:ascii="Courier New" w:hAnsi="Courier New" w:cs="Courier New" w:hint="default"/>
      </w:rPr>
    </w:lvl>
    <w:lvl w:ilvl="2" w:tplc="EA242E9C">
      <w:start w:val="1"/>
      <w:numFmt w:val="bullet"/>
      <w:lvlText w:val=""/>
      <w:lvlJc w:val="left"/>
      <w:pPr>
        <w:ind w:left="2160" w:hanging="360"/>
      </w:pPr>
      <w:rPr>
        <w:rFonts w:ascii="Wingdings" w:hAnsi="Wingdings" w:hint="default"/>
      </w:rPr>
    </w:lvl>
    <w:lvl w:ilvl="3" w:tplc="A380DF76">
      <w:start w:val="1"/>
      <w:numFmt w:val="bullet"/>
      <w:lvlText w:val=""/>
      <w:lvlJc w:val="left"/>
      <w:pPr>
        <w:ind w:left="2880" w:hanging="360"/>
      </w:pPr>
      <w:rPr>
        <w:rFonts w:ascii="Symbol" w:hAnsi="Symbol" w:hint="default"/>
      </w:rPr>
    </w:lvl>
    <w:lvl w:ilvl="4" w:tplc="4CA48A56">
      <w:start w:val="1"/>
      <w:numFmt w:val="bullet"/>
      <w:lvlText w:val="o"/>
      <w:lvlJc w:val="left"/>
      <w:pPr>
        <w:ind w:left="3600" w:hanging="360"/>
      </w:pPr>
      <w:rPr>
        <w:rFonts w:ascii="Courier New" w:hAnsi="Courier New" w:cs="Courier New" w:hint="default"/>
      </w:rPr>
    </w:lvl>
    <w:lvl w:ilvl="5" w:tplc="7D8A73E0">
      <w:start w:val="1"/>
      <w:numFmt w:val="bullet"/>
      <w:lvlText w:val=""/>
      <w:lvlJc w:val="left"/>
      <w:pPr>
        <w:ind w:left="4320" w:hanging="360"/>
      </w:pPr>
      <w:rPr>
        <w:rFonts w:ascii="Wingdings" w:hAnsi="Wingdings" w:hint="default"/>
      </w:rPr>
    </w:lvl>
    <w:lvl w:ilvl="6" w:tplc="C8CCBF12">
      <w:start w:val="1"/>
      <w:numFmt w:val="bullet"/>
      <w:lvlText w:val=""/>
      <w:lvlJc w:val="left"/>
      <w:pPr>
        <w:ind w:left="5040" w:hanging="360"/>
      </w:pPr>
      <w:rPr>
        <w:rFonts w:ascii="Symbol" w:hAnsi="Symbol" w:hint="default"/>
      </w:rPr>
    </w:lvl>
    <w:lvl w:ilvl="7" w:tplc="B7B655F6">
      <w:start w:val="1"/>
      <w:numFmt w:val="bullet"/>
      <w:lvlText w:val="o"/>
      <w:lvlJc w:val="left"/>
      <w:pPr>
        <w:ind w:left="5760" w:hanging="360"/>
      </w:pPr>
      <w:rPr>
        <w:rFonts w:ascii="Courier New" w:hAnsi="Courier New" w:cs="Courier New" w:hint="default"/>
      </w:rPr>
    </w:lvl>
    <w:lvl w:ilvl="8" w:tplc="275C434A">
      <w:start w:val="1"/>
      <w:numFmt w:val="bullet"/>
      <w:lvlText w:val=""/>
      <w:lvlJc w:val="left"/>
      <w:pPr>
        <w:ind w:left="6480" w:hanging="360"/>
      </w:pPr>
      <w:rPr>
        <w:rFonts w:ascii="Wingdings" w:hAnsi="Wingdings" w:hint="default"/>
      </w:rPr>
    </w:lvl>
  </w:abstractNum>
  <w:abstractNum w:abstractNumId="2" w15:restartNumberingAfterBreak="0">
    <w:nsid w:val="254460DA"/>
    <w:multiLevelType w:val="hybridMultilevel"/>
    <w:tmpl w:val="8A0A025C"/>
    <w:lvl w:ilvl="0" w:tplc="C41869F8">
      <w:start w:val="1"/>
      <w:numFmt w:val="bullet"/>
      <w:lvlText w:val=""/>
      <w:lvlJc w:val="left"/>
      <w:pPr>
        <w:ind w:left="720" w:hanging="360"/>
      </w:pPr>
      <w:rPr>
        <w:rFonts w:ascii="Symbol" w:hAnsi="Symbol" w:hint="default"/>
      </w:rPr>
    </w:lvl>
    <w:lvl w:ilvl="1" w:tplc="B6BCCB58">
      <w:start w:val="1"/>
      <w:numFmt w:val="bullet"/>
      <w:lvlText w:val="o"/>
      <w:lvlJc w:val="left"/>
      <w:pPr>
        <w:ind w:left="1440" w:hanging="360"/>
      </w:pPr>
      <w:rPr>
        <w:rFonts w:ascii="Courier New" w:hAnsi="Courier New" w:cs="Courier New" w:hint="default"/>
      </w:rPr>
    </w:lvl>
    <w:lvl w:ilvl="2" w:tplc="A2ECC8A2">
      <w:start w:val="1"/>
      <w:numFmt w:val="bullet"/>
      <w:lvlText w:val=""/>
      <w:lvlJc w:val="left"/>
      <w:pPr>
        <w:ind w:left="2160" w:hanging="360"/>
      </w:pPr>
      <w:rPr>
        <w:rFonts w:ascii="Wingdings" w:hAnsi="Wingdings" w:hint="default"/>
      </w:rPr>
    </w:lvl>
    <w:lvl w:ilvl="3" w:tplc="98EC211A">
      <w:start w:val="1"/>
      <w:numFmt w:val="bullet"/>
      <w:lvlText w:val=""/>
      <w:lvlJc w:val="left"/>
      <w:pPr>
        <w:ind w:left="2880" w:hanging="360"/>
      </w:pPr>
      <w:rPr>
        <w:rFonts w:ascii="Symbol" w:hAnsi="Symbol" w:hint="default"/>
      </w:rPr>
    </w:lvl>
    <w:lvl w:ilvl="4" w:tplc="53A2FBD8">
      <w:start w:val="1"/>
      <w:numFmt w:val="bullet"/>
      <w:lvlText w:val="o"/>
      <w:lvlJc w:val="left"/>
      <w:pPr>
        <w:ind w:left="3600" w:hanging="360"/>
      </w:pPr>
      <w:rPr>
        <w:rFonts w:ascii="Courier New" w:hAnsi="Courier New" w:cs="Courier New" w:hint="default"/>
      </w:rPr>
    </w:lvl>
    <w:lvl w:ilvl="5" w:tplc="3182BD08">
      <w:start w:val="1"/>
      <w:numFmt w:val="bullet"/>
      <w:lvlText w:val=""/>
      <w:lvlJc w:val="left"/>
      <w:pPr>
        <w:ind w:left="4320" w:hanging="360"/>
      </w:pPr>
      <w:rPr>
        <w:rFonts w:ascii="Wingdings" w:hAnsi="Wingdings" w:hint="default"/>
      </w:rPr>
    </w:lvl>
    <w:lvl w:ilvl="6" w:tplc="71A0A696">
      <w:start w:val="1"/>
      <w:numFmt w:val="bullet"/>
      <w:lvlText w:val=""/>
      <w:lvlJc w:val="left"/>
      <w:pPr>
        <w:ind w:left="5040" w:hanging="360"/>
      </w:pPr>
      <w:rPr>
        <w:rFonts w:ascii="Symbol" w:hAnsi="Symbol" w:hint="default"/>
      </w:rPr>
    </w:lvl>
    <w:lvl w:ilvl="7" w:tplc="57A864A8">
      <w:start w:val="1"/>
      <w:numFmt w:val="bullet"/>
      <w:lvlText w:val="o"/>
      <w:lvlJc w:val="left"/>
      <w:pPr>
        <w:ind w:left="5760" w:hanging="360"/>
      </w:pPr>
      <w:rPr>
        <w:rFonts w:ascii="Courier New" w:hAnsi="Courier New" w:cs="Courier New" w:hint="default"/>
      </w:rPr>
    </w:lvl>
    <w:lvl w:ilvl="8" w:tplc="0A5CDB5E">
      <w:start w:val="1"/>
      <w:numFmt w:val="bullet"/>
      <w:lvlText w:val=""/>
      <w:lvlJc w:val="left"/>
      <w:pPr>
        <w:ind w:left="6480" w:hanging="360"/>
      </w:pPr>
      <w:rPr>
        <w:rFonts w:ascii="Wingdings" w:hAnsi="Wingdings" w:hint="default"/>
      </w:rPr>
    </w:lvl>
  </w:abstractNum>
  <w:abstractNum w:abstractNumId="3" w15:restartNumberingAfterBreak="0">
    <w:nsid w:val="38303B03"/>
    <w:multiLevelType w:val="hybridMultilevel"/>
    <w:tmpl w:val="4B243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000B6D"/>
    <w:multiLevelType w:val="hybridMultilevel"/>
    <w:tmpl w:val="F62CBD42"/>
    <w:lvl w:ilvl="0" w:tplc="19FC289C">
      <w:start w:val="1"/>
      <w:numFmt w:val="bullet"/>
      <w:lvlText w:val=""/>
      <w:lvlJc w:val="left"/>
      <w:pPr>
        <w:ind w:left="720" w:hanging="360"/>
      </w:pPr>
      <w:rPr>
        <w:rFonts w:ascii="Symbol" w:hAnsi="Symbol" w:hint="default"/>
      </w:rPr>
    </w:lvl>
    <w:lvl w:ilvl="1" w:tplc="6FDA7BC0">
      <w:start w:val="1"/>
      <w:numFmt w:val="bullet"/>
      <w:lvlText w:val="o"/>
      <w:lvlJc w:val="left"/>
      <w:pPr>
        <w:ind w:left="1440" w:hanging="360"/>
      </w:pPr>
      <w:rPr>
        <w:rFonts w:ascii="Courier New" w:hAnsi="Courier New" w:cs="Courier New" w:hint="default"/>
      </w:rPr>
    </w:lvl>
    <w:lvl w:ilvl="2" w:tplc="146A8F3C">
      <w:start w:val="1"/>
      <w:numFmt w:val="bullet"/>
      <w:lvlText w:val=""/>
      <w:lvlJc w:val="left"/>
      <w:pPr>
        <w:ind w:left="2160" w:hanging="360"/>
      </w:pPr>
      <w:rPr>
        <w:rFonts w:ascii="Wingdings" w:hAnsi="Wingdings" w:hint="default"/>
      </w:rPr>
    </w:lvl>
    <w:lvl w:ilvl="3" w:tplc="8C90F336">
      <w:start w:val="1"/>
      <w:numFmt w:val="bullet"/>
      <w:lvlText w:val=""/>
      <w:lvlJc w:val="left"/>
      <w:pPr>
        <w:ind w:left="2880" w:hanging="360"/>
      </w:pPr>
      <w:rPr>
        <w:rFonts w:ascii="Symbol" w:hAnsi="Symbol" w:hint="default"/>
      </w:rPr>
    </w:lvl>
    <w:lvl w:ilvl="4" w:tplc="1B9812E2">
      <w:start w:val="1"/>
      <w:numFmt w:val="bullet"/>
      <w:lvlText w:val="o"/>
      <w:lvlJc w:val="left"/>
      <w:pPr>
        <w:ind w:left="3600" w:hanging="360"/>
      </w:pPr>
      <w:rPr>
        <w:rFonts w:ascii="Courier New" w:hAnsi="Courier New" w:cs="Courier New" w:hint="default"/>
      </w:rPr>
    </w:lvl>
    <w:lvl w:ilvl="5" w:tplc="C0284D92">
      <w:start w:val="1"/>
      <w:numFmt w:val="bullet"/>
      <w:lvlText w:val=""/>
      <w:lvlJc w:val="left"/>
      <w:pPr>
        <w:ind w:left="4320" w:hanging="360"/>
      </w:pPr>
      <w:rPr>
        <w:rFonts w:ascii="Wingdings" w:hAnsi="Wingdings" w:hint="default"/>
      </w:rPr>
    </w:lvl>
    <w:lvl w:ilvl="6" w:tplc="3B3615F4">
      <w:start w:val="1"/>
      <w:numFmt w:val="bullet"/>
      <w:lvlText w:val=""/>
      <w:lvlJc w:val="left"/>
      <w:pPr>
        <w:ind w:left="5040" w:hanging="360"/>
      </w:pPr>
      <w:rPr>
        <w:rFonts w:ascii="Symbol" w:hAnsi="Symbol" w:hint="default"/>
      </w:rPr>
    </w:lvl>
    <w:lvl w:ilvl="7" w:tplc="B9B03A58">
      <w:start w:val="1"/>
      <w:numFmt w:val="bullet"/>
      <w:lvlText w:val="o"/>
      <w:lvlJc w:val="left"/>
      <w:pPr>
        <w:ind w:left="5760" w:hanging="360"/>
      </w:pPr>
      <w:rPr>
        <w:rFonts w:ascii="Courier New" w:hAnsi="Courier New" w:cs="Courier New" w:hint="default"/>
      </w:rPr>
    </w:lvl>
    <w:lvl w:ilvl="8" w:tplc="B3122B80">
      <w:start w:val="1"/>
      <w:numFmt w:val="bullet"/>
      <w:lvlText w:val=""/>
      <w:lvlJc w:val="left"/>
      <w:pPr>
        <w:ind w:left="6480" w:hanging="360"/>
      </w:pPr>
      <w:rPr>
        <w:rFonts w:ascii="Wingdings" w:hAnsi="Wingdings" w:hint="default"/>
      </w:rPr>
    </w:lvl>
  </w:abstractNum>
  <w:abstractNum w:abstractNumId="5" w15:restartNumberingAfterBreak="0">
    <w:nsid w:val="66FB6D1A"/>
    <w:multiLevelType w:val="hybridMultilevel"/>
    <w:tmpl w:val="A37AFCB0"/>
    <w:lvl w:ilvl="0" w:tplc="824ACD6E">
      <w:start w:val="1"/>
      <w:numFmt w:val="bullet"/>
      <w:lvlText w:val=""/>
      <w:lvlJc w:val="left"/>
      <w:pPr>
        <w:ind w:left="720" w:hanging="360"/>
      </w:pPr>
      <w:rPr>
        <w:rFonts w:ascii="Symbol" w:hAnsi="Symbol" w:hint="default"/>
      </w:rPr>
    </w:lvl>
    <w:lvl w:ilvl="1" w:tplc="95CC5588">
      <w:start w:val="1"/>
      <w:numFmt w:val="bullet"/>
      <w:lvlText w:val="o"/>
      <w:lvlJc w:val="left"/>
      <w:pPr>
        <w:ind w:left="1440" w:hanging="360"/>
      </w:pPr>
      <w:rPr>
        <w:rFonts w:ascii="Courier New" w:hAnsi="Courier New" w:cs="Courier New" w:hint="default"/>
      </w:rPr>
    </w:lvl>
    <w:lvl w:ilvl="2" w:tplc="B246DB34">
      <w:start w:val="1"/>
      <w:numFmt w:val="bullet"/>
      <w:lvlText w:val=""/>
      <w:lvlJc w:val="left"/>
      <w:pPr>
        <w:ind w:left="2160" w:hanging="360"/>
      </w:pPr>
      <w:rPr>
        <w:rFonts w:ascii="Wingdings" w:hAnsi="Wingdings" w:hint="default"/>
      </w:rPr>
    </w:lvl>
    <w:lvl w:ilvl="3" w:tplc="0EAE7E2C">
      <w:start w:val="1"/>
      <w:numFmt w:val="bullet"/>
      <w:lvlText w:val=""/>
      <w:lvlJc w:val="left"/>
      <w:pPr>
        <w:ind w:left="2880" w:hanging="360"/>
      </w:pPr>
      <w:rPr>
        <w:rFonts w:ascii="Symbol" w:hAnsi="Symbol" w:hint="default"/>
      </w:rPr>
    </w:lvl>
    <w:lvl w:ilvl="4" w:tplc="D1C61F18">
      <w:start w:val="1"/>
      <w:numFmt w:val="bullet"/>
      <w:lvlText w:val="o"/>
      <w:lvlJc w:val="left"/>
      <w:pPr>
        <w:ind w:left="3600" w:hanging="360"/>
      </w:pPr>
      <w:rPr>
        <w:rFonts w:ascii="Courier New" w:hAnsi="Courier New" w:cs="Courier New" w:hint="default"/>
      </w:rPr>
    </w:lvl>
    <w:lvl w:ilvl="5" w:tplc="36781F5A">
      <w:start w:val="1"/>
      <w:numFmt w:val="bullet"/>
      <w:lvlText w:val=""/>
      <w:lvlJc w:val="left"/>
      <w:pPr>
        <w:ind w:left="4320" w:hanging="360"/>
      </w:pPr>
      <w:rPr>
        <w:rFonts w:ascii="Wingdings" w:hAnsi="Wingdings" w:hint="default"/>
      </w:rPr>
    </w:lvl>
    <w:lvl w:ilvl="6" w:tplc="467EB002">
      <w:start w:val="1"/>
      <w:numFmt w:val="bullet"/>
      <w:lvlText w:val=""/>
      <w:lvlJc w:val="left"/>
      <w:pPr>
        <w:ind w:left="5040" w:hanging="360"/>
      </w:pPr>
      <w:rPr>
        <w:rFonts w:ascii="Symbol" w:hAnsi="Symbol" w:hint="default"/>
      </w:rPr>
    </w:lvl>
    <w:lvl w:ilvl="7" w:tplc="E4B22A7E">
      <w:start w:val="1"/>
      <w:numFmt w:val="bullet"/>
      <w:lvlText w:val="o"/>
      <w:lvlJc w:val="left"/>
      <w:pPr>
        <w:ind w:left="5760" w:hanging="360"/>
      </w:pPr>
      <w:rPr>
        <w:rFonts w:ascii="Courier New" w:hAnsi="Courier New" w:cs="Courier New" w:hint="default"/>
      </w:rPr>
    </w:lvl>
    <w:lvl w:ilvl="8" w:tplc="A6CC735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11"/>
    <w:rsid w:val="00034C75"/>
    <w:rsid w:val="000F7EED"/>
    <w:rsid w:val="00100011"/>
    <w:rsid w:val="001B6FA0"/>
    <w:rsid w:val="00485C06"/>
    <w:rsid w:val="005473AE"/>
    <w:rsid w:val="006D3C68"/>
    <w:rsid w:val="00AB569D"/>
    <w:rsid w:val="00B35AA5"/>
    <w:rsid w:val="00C66B9E"/>
    <w:rsid w:val="00CE6BF1"/>
    <w:rsid w:val="00EE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1484"/>
  <w15:docId w15:val="{0C445519-E1D8-41A3-AE1F-1AC0B9EC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outlineLvl w:val="0"/>
    </w:pPr>
    <w:rPr>
      <w:b/>
      <w:bCs/>
      <w:sz w:val="36"/>
    </w:rPr>
  </w:style>
  <w:style w:type="paragraph" w:styleId="Titre2">
    <w:name w:val="heading 2"/>
    <w:basedOn w:val="Normal"/>
    <w:next w:val="Normal"/>
    <w:link w:val="Titre2Car"/>
    <w:qFormat/>
    <w:pPr>
      <w:keepNext/>
      <w:jc w:val="center"/>
      <w:outlineLvl w:val="1"/>
    </w:pPr>
    <w:rPr>
      <w:b/>
      <w:bCs/>
      <w:sz w:val="32"/>
    </w:rPr>
  </w:style>
  <w:style w:type="paragraph" w:styleId="Titre3">
    <w:name w:val="heading 3"/>
    <w:basedOn w:val="Normal"/>
    <w:next w:val="Normal"/>
    <w:link w:val="Titre3Car"/>
    <w:qFormat/>
    <w:pPr>
      <w:keepNext/>
      <w:jc w:val="center"/>
      <w:outlineLvl w:val="2"/>
    </w:pPr>
    <w:rPr>
      <w:b/>
      <w:bCs/>
      <w:sz w:val="28"/>
    </w:rPr>
  </w:style>
  <w:style w:type="paragraph" w:styleId="Titre4">
    <w:name w:val="heading 4"/>
    <w:basedOn w:val="Normal"/>
    <w:next w:val="Normal"/>
    <w:link w:val="Titre4Car"/>
    <w:qFormat/>
    <w:pPr>
      <w:keepNext/>
      <w:ind w:left="4956" w:firstLine="708"/>
      <w:outlineLvl w:val="3"/>
    </w:pPr>
    <w:rPr>
      <w:b/>
      <w:bCs/>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Retraitcorpsdetexte">
    <w:name w:val="Body Text Indent"/>
    <w:basedOn w:val="Normal"/>
    <w:pPr>
      <w:ind w:left="6372" w:firstLine="708"/>
      <w:jc w:val="right"/>
    </w:p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customStyle="1" w:styleId="docdata">
    <w:name w:val="docdata"/>
  </w:style>
  <w:style w:type="paragraph" w:customStyle="1" w:styleId="8666">
    <w:name w:val="8666"/>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0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0.jp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Mission pour le Développement des Ressources Humaines</vt:lpstr>
    </vt:vector>
  </TitlesOfParts>
  <Company>INSA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2025-04-18T13:37:00Z</dcterms:created>
  <dc:creator>erevez</dc:creator>
  <cp:lastModifiedBy>cragonot</cp:lastModifiedBy>
  <dcterms:modified xsi:type="dcterms:W3CDTF">2025-06-20T15:56:12Z</dcterms:modified>
  <cp:revision>9</cp:revision>
  <dc:title>Mission pour le Développement des Ressources Humaines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1.5</vt:lpwstr>
  </property>
</Properties>
</file>