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5987" w14:textId="77777777" w:rsidR="00575DFF" w:rsidRDefault="00575DFF" w:rsidP="00575DFF">
      <w:pPr>
        <w:jc w:val="center"/>
      </w:pPr>
      <w:r>
        <w:t>CDD au sein de la Direction Télécom Unifiée</w:t>
      </w:r>
    </w:p>
    <w:p w14:paraId="3C132935" w14:textId="402E5833" w:rsidR="003E206B" w:rsidRDefault="00575DFF" w:rsidP="00575DFF">
      <w:pPr>
        <w:jc w:val="center"/>
      </w:pPr>
      <w:r>
        <w:t>de SNCF RESEAU</w:t>
      </w:r>
    </w:p>
    <w:p w14:paraId="3F25EB1F" w14:textId="77777777" w:rsidR="00575DFF" w:rsidRDefault="00575DFF" w:rsidP="00575DFF">
      <w:pPr>
        <w:jc w:val="center"/>
      </w:pPr>
    </w:p>
    <w:p w14:paraId="6929106D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Poste :</w:t>
      </w:r>
      <w:r>
        <w:rPr>
          <w:rFonts w:ascii="Garamond" w:eastAsia="MS Minngs" w:hAnsi="Garamond" w:cs="Cambria"/>
          <w:lang w:eastAsia="ja-JP"/>
        </w:rPr>
        <w:t> Archiviste en CDD</w:t>
      </w:r>
    </w:p>
    <w:p w14:paraId="67680D25" w14:textId="2939809A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 xml:space="preserve">Employeur : </w:t>
      </w:r>
      <w:r>
        <w:rPr>
          <w:rFonts w:ascii="Garamond" w:eastAsia="MS Minngs" w:hAnsi="Garamond" w:cs="Cambria"/>
          <w:b/>
          <w:bCs/>
          <w:lang w:eastAsia="ja-JP"/>
        </w:rPr>
        <w:t>Direction Télécom Unifiée ( SNCF RESEAU)</w:t>
      </w:r>
    </w:p>
    <w:p w14:paraId="1DCD45B2" w14:textId="27AE7350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Type de contrat :</w:t>
      </w:r>
      <w:r>
        <w:rPr>
          <w:rFonts w:ascii="Garamond" w:eastAsia="MS Minngs" w:hAnsi="Garamond" w:cs="Cambria"/>
          <w:lang w:eastAsia="ja-JP"/>
        </w:rPr>
        <w:t xml:space="preserve">  CDD </w:t>
      </w:r>
      <w:r>
        <w:rPr>
          <w:rFonts w:ascii="Garamond" w:eastAsia="MS Minngs" w:hAnsi="Garamond" w:cs="Cambria"/>
          <w:lang w:eastAsia="ja-JP"/>
        </w:rPr>
        <w:t xml:space="preserve">3 mois </w:t>
      </w:r>
      <w:r>
        <w:rPr>
          <w:rFonts w:ascii="Garamond" w:eastAsia="MS Minngs" w:hAnsi="Garamond" w:cs="Cambria"/>
          <w:lang w:eastAsia="ja-JP"/>
        </w:rPr>
        <w:t xml:space="preserve">(niveau master </w:t>
      </w:r>
      <w:r>
        <w:rPr>
          <w:rFonts w:ascii="Garamond" w:eastAsia="MS Minngs" w:hAnsi="Garamond" w:cs="Cambria"/>
          <w:lang w:eastAsia="ja-JP"/>
        </w:rPr>
        <w:t xml:space="preserve">2 </w:t>
      </w:r>
      <w:r>
        <w:rPr>
          <w:rFonts w:ascii="Garamond" w:eastAsia="MS Minngs" w:hAnsi="Garamond" w:cs="Cambria"/>
          <w:lang w:eastAsia="ja-JP"/>
        </w:rPr>
        <w:t>archivis</w:t>
      </w:r>
      <w:r>
        <w:rPr>
          <w:rFonts w:ascii="Garamond" w:eastAsia="MS Minngs" w:hAnsi="Garamond" w:cs="Cambria"/>
          <w:lang w:eastAsia="ja-JP"/>
        </w:rPr>
        <w:t>te</w:t>
      </w:r>
      <w:r>
        <w:rPr>
          <w:rFonts w:ascii="Garamond" w:eastAsia="MS Minngs" w:hAnsi="Garamond" w:cs="Cambria"/>
          <w:lang w:eastAsia="ja-JP"/>
        </w:rPr>
        <w:t>)</w:t>
      </w:r>
    </w:p>
    <w:p w14:paraId="66F77DCD" w14:textId="605FF469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 xml:space="preserve">Date limite de candidature : </w:t>
      </w:r>
      <w:r>
        <w:rPr>
          <w:rFonts w:ascii="Garamond" w:eastAsia="MS Minngs" w:hAnsi="Garamond" w:cs="Cambria"/>
          <w:lang w:eastAsia="ja-JP"/>
        </w:rPr>
        <w:t>02 septembre 2024</w:t>
      </w:r>
    </w:p>
    <w:p w14:paraId="3FA20DE5" w14:textId="51A6BA63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Démarrage :</w:t>
      </w:r>
      <w:r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 xml:space="preserve">15 </w:t>
      </w:r>
      <w:r>
        <w:rPr>
          <w:rFonts w:ascii="Garamond" w:eastAsia="MS Minngs" w:hAnsi="Garamond" w:cs="Cambria"/>
          <w:lang w:eastAsia="ja-JP"/>
        </w:rPr>
        <w:t>septembre 2024</w:t>
      </w:r>
    </w:p>
    <w:p w14:paraId="73CC231F" w14:textId="336DE21C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Rémunération :</w:t>
      </w:r>
      <w:r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selon profil et expérience</w:t>
      </w:r>
    </w:p>
    <w:p w14:paraId="143BB464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</w:pPr>
    </w:p>
    <w:p w14:paraId="2F5B809B" w14:textId="21D17769" w:rsidR="00575DFF" w:rsidRDefault="00575DFF" w:rsidP="00575DFF">
      <w:pPr>
        <w:pStyle w:val="Titre3"/>
        <w:keepLines/>
        <w:tabs>
          <w:tab w:val="clear" w:pos="567"/>
          <w:tab w:val="left" w:pos="1134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C</w:t>
      </w:r>
      <w:r w:rsidRPr="00F110E7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ontexte</w:t>
      </w:r>
    </w:p>
    <w:p w14:paraId="18A00455" w14:textId="759EB65B" w:rsidR="00575DFF" w:rsidRPr="00276989" w:rsidRDefault="00575DFF" w:rsidP="00575DFF">
      <w:pPr>
        <w:ind w:left="1134"/>
        <w:rPr>
          <w:rFonts w:ascii="Garamond" w:eastAsia="MS Minngs" w:hAnsi="Garamond" w:cs="Cambria"/>
          <w:lang w:eastAsia="ja-JP"/>
        </w:rPr>
      </w:pPr>
      <w:r w:rsidRPr="00276989">
        <w:rPr>
          <w:rFonts w:ascii="Garamond" w:eastAsia="MS Minngs" w:hAnsi="Garamond" w:cs="Cambria"/>
          <w:lang w:eastAsia="ja-JP"/>
        </w:rPr>
        <w:t>Un projet de rangement de nos différents espaces a été lancé le 2 juillet 2024.</w:t>
      </w:r>
    </w:p>
    <w:p w14:paraId="374480D9" w14:textId="2A9B2B30" w:rsidR="00575DFF" w:rsidRPr="00276989" w:rsidRDefault="00575DFF" w:rsidP="00575DFF">
      <w:pPr>
        <w:ind w:left="1134"/>
        <w:rPr>
          <w:rFonts w:ascii="Garamond" w:eastAsia="MS Minngs" w:hAnsi="Garamond" w:cs="Cambria"/>
          <w:lang w:eastAsia="ja-JP"/>
        </w:rPr>
      </w:pPr>
      <w:r w:rsidRPr="00276989">
        <w:rPr>
          <w:rFonts w:ascii="Garamond" w:eastAsia="MS Minngs" w:hAnsi="Garamond" w:cs="Cambria"/>
          <w:lang w:eastAsia="ja-JP"/>
        </w:rPr>
        <w:t>Ce projet comprend le rangement de nos archives papiers.</w:t>
      </w:r>
    </w:p>
    <w:p w14:paraId="49C36B55" w14:textId="57079465" w:rsidR="00433728" w:rsidRPr="00276989" w:rsidRDefault="00433728" w:rsidP="00575DFF">
      <w:pPr>
        <w:ind w:left="1134"/>
        <w:rPr>
          <w:rFonts w:ascii="Garamond" w:eastAsia="MS Minngs" w:hAnsi="Garamond" w:cs="Cambria"/>
          <w:lang w:eastAsia="ja-JP"/>
        </w:rPr>
      </w:pPr>
      <w:r w:rsidRPr="00276989">
        <w:rPr>
          <w:rFonts w:ascii="Garamond" w:eastAsia="MS Minngs" w:hAnsi="Garamond" w:cs="Cambria"/>
          <w:lang w:eastAsia="ja-JP"/>
        </w:rPr>
        <w:t>Vous serez formé aux processus internes archivistiques.</w:t>
      </w:r>
    </w:p>
    <w:p w14:paraId="3E565521" w14:textId="77777777" w:rsidR="00276989" w:rsidRPr="00575DFF" w:rsidRDefault="00276989" w:rsidP="00575DFF">
      <w:pPr>
        <w:ind w:left="1134"/>
        <w:rPr>
          <w:lang w:eastAsia="ja-JP"/>
        </w:rPr>
      </w:pPr>
    </w:p>
    <w:p w14:paraId="7F822B9A" w14:textId="77777777" w:rsidR="00575DFF" w:rsidRPr="00EF368D" w:rsidRDefault="00575DFF" w:rsidP="00575DFF">
      <w:pPr>
        <w:pStyle w:val="Titre3"/>
        <w:keepLines/>
        <w:tabs>
          <w:tab w:val="clear" w:pos="567"/>
          <w:tab w:val="left" w:pos="1134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 w:rsidRPr="00EF368D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Description du poste</w:t>
      </w:r>
    </w:p>
    <w:p w14:paraId="3FCFBE76" w14:textId="06343856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Sous la supervision </w:t>
      </w:r>
      <w:r>
        <w:rPr>
          <w:rFonts w:ascii="Garamond" w:eastAsia="MS Minngs" w:hAnsi="Garamond" w:cs="Cambria"/>
          <w:lang w:eastAsia="ja-JP"/>
        </w:rPr>
        <w:t>de Nancy ABENAQUI</w:t>
      </w:r>
      <w:r>
        <w:rPr>
          <w:rFonts w:ascii="Garamond" w:eastAsia="MS Minngs" w:hAnsi="Garamond" w:cs="Cambria"/>
          <w:lang w:eastAsia="ja-JP"/>
        </w:rPr>
        <w:t xml:space="preserve">, </w:t>
      </w:r>
      <w:r>
        <w:rPr>
          <w:rFonts w:ascii="Garamond" w:eastAsia="MS Minngs" w:hAnsi="Garamond" w:cs="Cambria"/>
          <w:lang w:eastAsia="ja-JP"/>
        </w:rPr>
        <w:t>Office Manager et Cheffe du projet de rangement</w:t>
      </w:r>
      <w:r w:rsidRPr="002C461E">
        <w:rPr>
          <w:rFonts w:ascii="Garamond" w:eastAsia="MS Minngs" w:hAnsi="Garamond" w:cs="Cambria"/>
          <w:lang w:eastAsia="ja-JP"/>
        </w:rPr>
        <w:t>, vos missions consistent à réaliser</w:t>
      </w:r>
      <w:r>
        <w:rPr>
          <w:rFonts w:ascii="Garamond" w:eastAsia="MS Minngs" w:hAnsi="Garamond" w:cs="Cambria"/>
          <w:lang w:eastAsia="ja-JP"/>
        </w:rPr>
        <w:t> :</w:t>
      </w:r>
    </w:p>
    <w:p w14:paraId="365132F4" w14:textId="77777777" w:rsidR="00433728" w:rsidRDefault="00433728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1FCA971A" w14:textId="77777777" w:rsidR="00575DFF" w:rsidRPr="00495462" w:rsidRDefault="00575DFF" w:rsidP="00575DFF">
      <w:pPr>
        <w:pStyle w:val="Paragraphedeliste"/>
        <w:numPr>
          <w:ilvl w:val="0"/>
          <w:numId w:val="1"/>
        </w:numPr>
        <w:tabs>
          <w:tab w:val="left" w:pos="1134"/>
        </w:tabs>
        <w:spacing w:before="120" w:after="120" w:line="276" w:lineRule="auto"/>
        <w:rPr>
          <w:rFonts w:ascii="Garamond" w:eastAsia="MS Minngs" w:hAnsi="Garamond" w:cs="Cambria"/>
          <w:b/>
          <w:bCs/>
          <w:szCs w:val="24"/>
          <w:lang w:eastAsia="ja-JP"/>
        </w:rPr>
      </w:pPr>
      <w:r w:rsidRPr="00495462">
        <w:rPr>
          <w:rFonts w:ascii="Garamond" w:eastAsia="MS Minngs" w:hAnsi="Garamond" w:cs="Cambria"/>
          <w:b/>
          <w:bCs/>
          <w:szCs w:val="24"/>
          <w:lang w:eastAsia="ja-JP"/>
        </w:rPr>
        <w:t>Missions principales</w:t>
      </w:r>
    </w:p>
    <w:p w14:paraId="3A1378F1" w14:textId="1C61E4C1" w:rsidR="00575DFF" w:rsidRPr="00495462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b/>
          <w:bCs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T</w:t>
      </w:r>
      <w:r w:rsidRPr="00495462">
        <w:rPr>
          <w:rFonts w:ascii="Garamond" w:eastAsia="MS Minngs" w:hAnsi="Garamond" w:cs="Cambria"/>
          <w:b/>
          <w:bCs/>
          <w:lang w:eastAsia="ja-JP"/>
        </w:rPr>
        <w:t xml:space="preserve">raitement </w:t>
      </w:r>
      <w:r>
        <w:rPr>
          <w:rFonts w:ascii="Garamond" w:eastAsia="MS Minngs" w:hAnsi="Garamond" w:cs="Cambria"/>
          <w:b/>
          <w:bCs/>
          <w:lang w:eastAsia="ja-JP"/>
        </w:rPr>
        <w:t>des fonds d’archives</w:t>
      </w:r>
      <w:r w:rsidRPr="00495462">
        <w:rPr>
          <w:rFonts w:ascii="Garamond" w:eastAsia="MS Minngs" w:hAnsi="Garamond" w:cs="Cambria"/>
          <w:b/>
          <w:bCs/>
          <w:lang w:eastAsia="ja-JP"/>
        </w:rPr>
        <w:t xml:space="preserve"> </w:t>
      </w:r>
      <w:r>
        <w:rPr>
          <w:rFonts w:ascii="Garamond" w:eastAsia="MS Minngs" w:hAnsi="Garamond" w:cs="Cambria"/>
          <w:b/>
          <w:bCs/>
          <w:lang w:eastAsia="ja-JP"/>
        </w:rPr>
        <w:t xml:space="preserve">de la Direction </w:t>
      </w:r>
    </w:p>
    <w:p w14:paraId="18138DBF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</w:t>
      </w:r>
      <w:r>
        <w:rPr>
          <w:rFonts w:ascii="Garamond" w:eastAsia="MS Minngs" w:hAnsi="Garamond" w:cs="Cambria"/>
          <w:lang w:eastAsia="ja-JP"/>
        </w:rPr>
        <w:t>réalis</w:t>
      </w:r>
      <w:r w:rsidRPr="002C461E">
        <w:rPr>
          <w:rFonts w:ascii="Garamond" w:eastAsia="MS Minngs" w:hAnsi="Garamond" w:cs="Cambria"/>
          <w:lang w:eastAsia="ja-JP"/>
        </w:rPr>
        <w:t>er le traitement des archives</w:t>
      </w:r>
      <w:r>
        <w:rPr>
          <w:rFonts w:ascii="Garamond" w:eastAsia="MS Minngs" w:hAnsi="Garamond" w:cs="Cambria"/>
          <w:lang w:eastAsia="ja-JP"/>
        </w:rPr>
        <w:t xml:space="preserve"> </w:t>
      </w:r>
      <w:r w:rsidRPr="002C461E">
        <w:rPr>
          <w:rFonts w:ascii="Garamond" w:eastAsia="MS Minngs" w:hAnsi="Garamond" w:cs="Cambria"/>
          <w:lang w:eastAsia="ja-JP"/>
        </w:rPr>
        <w:t>et la rédaction des inventaires selon les procédures existantes ;</w:t>
      </w:r>
    </w:p>
    <w:p w14:paraId="61C13D5B" w14:textId="081C63FC" w:rsidR="008C6FFF" w:rsidRPr="002C461E" w:rsidRDefault="008C6F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Portrait Text Regular" w:hAnsi="Portrait Text Regular"/>
          <w:sz w:val="20"/>
          <w:szCs w:val="20"/>
        </w:rPr>
        <w:t>- i</w:t>
      </w:r>
      <w:r>
        <w:rPr>
          <w:rFonts w:ascii="Portrait Text Regular" w:hAnsi="Portrait Text Regular"/>
          <w:sz w:val="20"/>
          <w:szCs w:val="20"/>
        </w:rPr>
        <w:t>dentifier des documents, procéder à leur reconditionnement et de leur classement physique et intellectuel</w:t>
      </w:r>
      <w:r>
        <w:rPr>
          <w:rFonts w:ascii="Calibri" w:hAnsi="Calibri" w:cs="Calibri"/>
          <w:sz w:val="20"/>
          <w:szCs w:val="20"/>
        </w:rPr>
        <w:t> </w:t>
      </w:r>
    </w:p>
    <w:p w14:paraId="239BDCCC" w14:textId="67089CD6" w:rsidR="00575DFF" w:rsidRPr="002C461E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</w:t>
      </w:r>
      <w:r w:rsidR="00433728">
        <w:rPr>
          <w:rFonts w:ascii="Garamond" w:eastAsia="MS Minngs" w:hAnsi="Garamond" w:cs="Cambria"/>
          <w:lang w:eastAsia="ja-JP"/>
        </w:rPr>
        <w:t>effectuer</w:t>
      </w:r>
      <w:r w:rsidRPr="002C461E">
        <w:rPr>
          <w:rFonts w:ascii="Garamond" w:eastAsia="MS Minngs" w:hAnsi="Garamond" w:cs="Cambria"/>
          <w:lang w:eastAsia="ja-JP"/>
        </w:rPr>
        <w:t xml:space="preserve"> le </w:t>
      </w:r>
      <w:r>
        <w:rPr>
          <w:rFonts w:ascii="Garamond" w:eastAsia="MS Minngs" w:hAnsi="Garamond" w:cs="Cambria"/>
          <w:lang w:eastAsia="ja-JP"/>
        </w:rPr>
        <w:t xml:space="preserve">versement </w:t>
      </w:r>
      <w:r w:rsidRPr="002C461E">
        <w:rPr>
          <w:rFonts w:ascii="Garamond" w:eastAsia="MS Minngs" w:hAnsi="Garamond" w:cs="Cambria"/>
          <w:lang w:eastAsia="ja-JP"/>
        </w:rPr>
        <w:t>des archives, à l’issue du traitement;</w:t>
      </w:r>
    </w:p>
    <w:p w14:paraId="2D724418" w14:textId="77777777" w:rsidR="00575DFF" w:rsidRPr="002C461E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>- enrichir les outils de gestion existants (charte d’archivage, plan de classement, etc.) ;</w:t>
      </w:r>
    </w:p>
    <w:p w14:paraId="13AB1939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>- assurer un reporting régulier.</w:t>
      </w:r>
    </w:p>
    <w:p w14:paraId="0EBB60B8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b/>
          <w:bCs/>
          <w:lang w:eastAsia="ja-JP"/>
        </w:rPr>
      </w:pPr>
    </w:p>
    <w:p w14:paraId="457A3BE6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155412">
        <w:rPr>
          <w:rFonts w:ascii="Garamond" w:eastAsia="MS Minngs" w:hAnsi="Garamond" w:cs="Cambria"/>
          <w:b/>
          <w:bCs/>
          <w:lang w:eastAsia="ja-JP"/>
        </w:rPr>
        <w:t>b) actions ponctuelles :</w:t>
      </w:r>
      <w:r>
        <w:rPr>
          <w:rFonts w:ascii="Garamond" w:eastAsia="MS Minngs" w:hAnsi="Garamond" w:cs="Cambria"/>
          <w:lang w:eastAsia="ja-JP"/>
        </w:rPr>
        <w:t xml:space="preserve"> </w:t>
      </w:r>
    </w:p>
    <w:p w14:paraId="7D58C436" w14:textId="757F1423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- états des lieux et préparation de transferts d’archives  (NB le transfert physique des archives est réalisé par un prestataire) ;</w:t>
      </w:r>
    </w:p>
    <w:p w14:paraId="42F045AC" w14:textId="77777777" w:rsidR="00575DFF" w:rsidRPr="00EF368D" w:rsidRDefault="00575DFF" w:rsidP="00575DFF">
      <w:pPr>
        <w:rPr>
          <w:rFonts w:eastAsia="MS Minngs"/>
          <w:lang w:eastAsia="ja-JP"/>
        </w:rPr>
      </w:pPr>
    </w:p>
    <w:p w14:paraId="16ADBFCA" w14:textId="77777777" w:rsidR="00575DFF" w:rsidRPr="00E27617" w:rsidRDefault="00575DFF" w:rsidP="00575DFF">
      <w:pPr>
        <w:pStyle w:val="Titre3"/>
        <w:keepLines/>
        <w:tabs>
          <w:tab w:val="clear" w:pos="567"/>
          <w:tab w:val="left" w:pos="1134"/>
          <w:tab w:val="left" w:pos="3458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Formation</w:t>
      </w:r>
    </w:p>
    <w:p w14:paraId="22A355DE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Diplôme universitaire spécialisé en archivistique (Master 2)</w:t>
      </w:r>
    </w:p>
    <w:p w14:paraId="6F21E2F0" w14:textId="0E5C11CA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lastRenderedPageBreak/>
        <w:t>Un an d’expérience minimum (stages compris) (expérience</w:t>
      </w:r>
      <w:r w:rsidR="00433728"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dans le domaine des archives d’entreprises fortement recommandée)</w:t>
      </w:r>
    </w:p>
    <w:p w14:paraId="020C015C" w14:textId="77777777" w:rsidR="00575DFF" w:rsidRPr="00EF368D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219CD6C1" w14:textId="77777777" w:rsidR="00575DFF" w:rsidRPr="00E27617" w:rsidRDefault="00575DFF" w:rsidP="00575DFF">
      <w:pPr>
        <w:pStyle w:val="Titre3"/>
        <w:keepLines/>
        <w:tabs>
          <w:tab w:val="clear" w:pos="567"/>
          <w:tab w:val="left" w:pos="1134"/>
          <w:tab w:val="left" w:pos="3458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 w:rsidRPr="00EF368D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Profil recherché</w:t>
      </w: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 xml:space="preserve"> et compétences nécessaires</w:t>
      </w:r>
    </w:p>
    <w:p w14:paraId="18E763AA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Scientifiques et techniques :</w:t>
      </w:r>
    </w:p>
    <w:p w14:paraId="7FE7280D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Expertise des principes de l’archivistique et normes afférentes</w:t>
      </w:r>
    </w:p>
    <w:p w14:paraId="234CA80A" w14:textId="0FFEBA14" w:rsidR="008C6FFF" w:rsidRPr="00303225" w:rsidRDefault="008C6F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Maitrise inventaire en bordereau de versement</w:t>
      </w:r>
    </w:p>
    <w:p w14:paraId="61F87CDF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M</w:t>
      </w:r>
      <w:r w:rsidRPr="00EF368D">
        <w:rPr>
          <w:rFonts w:ascii="Garamond" w:eastAsia="MS Minngs" w:hAnsi="Garamond" w:cs="Cambria"/>
          <w:lang w:eastAsia="ja-JP"/>
        </w:rPr>
        <w:t xml:space="preserve">aîtrise </w:t>
      </w:r>
      <w:r>
        <w:rPr>
          <w:rFonts w:ascii="Garamond" w:eastAsia="MS Minngs" w:hAnsi="Garamond" w:cs="Cambria"/>
          <w:lang w:eastAsia="ja-JP"/>
        </w:rPr>
        <w:t>d</w:t>
      </w:r>
      <w:r w:rsidRPr="00EF368D">
        <w:rPr>
          <w:rFonts w:ascii="Garamond" w:eastAsia="MS Minngs" w:hAnsi="Garamond" w:cs="Cambria"/>
          <w:lang w:eastAsia="ja-JP"/>
        </w:rPr>
        <w:t>es outils bureautiques (Word, Excel)</w:t>
      </w:r>
      <w:r>
        <w:rPr>
          <w:rFonts w:ascii="Garamond" w:eastAsia="MS Minngs" w:hAnsi="Garamond" w:cs="Cambria"/>
          <w:lang w:eastAsia="ja-JP"/>
        </w:rPr>
        <w:t xml:space="preserve"> et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d</w:t>
      </w:r>
      <w:r w:rsidRPr="00EF368D">
        <w:rPr>
          <w:rFonts w:ascii="Garamond" w:eastAsia="MS Minngs" w:hAnsi="Garamond" w:cs="Cambria"/>
          <w:lang w:eastAsia="ja-JP"/>
        </w:rPr>
        <w:t xml:space="preserve">es règles rédactionnelles </w:t>
      </w:r>
    </w:p>
    <w:p w14:paraId="14DB647C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</w:p>
    <w:p w14:paraId="3FAAAAFC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Organisationnelles :</w:t>
      </w:r>
    </w:p>
    <w:p w14:paraId="116E5965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Capacité d’analyse et de planification</w:t>
      </w:r>
    </w:p>
    <w:p w14:paraId="516834FB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Rigueur et méthode</w:t>
      </w:r>
    </w:p>
    <w:p w14:paraId="25C5715A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Polyvalence</w:t>
      </w:r>
    </w:p>
    <w:p w14:paraId="176DB601" w14:textId="02171F45" w:rsidR="00575DFF" w:rsidRDefault="00953224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 xml:space="preserve">Respect de la confidentialité </w:t>
      </w:r>
    </w:p>
    <w:p w14:paraId="347125E5" w14:textId="1812EB56" w:rsidR="00953224" w:rsidRDefault="00953224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 xml:space="preserve">Manipulation de chariot </w:t>
      </w:r>
    </w:p>
    <w:p w14:paraId="0E543542" w14:textId="77777777" w:rsidR="00353B05" w:rsidRPr="00303225" w:rsidRDefault="00353B05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66EC0F24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Relationnelles :</w:t>
      </w:r>
    </w:p>
    <w:p w14:paraId="090DBC90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 xml:space="preserve">Capacité à travailler </w:t>
      </w:r>
      <w:r>
        <w:rPr>
          <w:rFonts w:ascii="Garamond" w:eastAsia="MS Minngs" w:hAnsi="Garamond" w:cs="Cambria"/>
          <w:lang w:eastAsia="ja-JP"/>
        </w:rPr>
        <w:t>de façon autonome</w:t>
      </w:r>
    </w:p>
    <w:p w14:paraId="6F0783AD" w14:textId="77777777" w:rsidR="00575DFF" w:rsidRPr="00303225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Capacité à communiquer sur un projet</w:t>
      </w:r>
    </w:p>
    <w:p w14:paraId="0E5379DD" w14:textId="77777777" w:rsidR="00575DFF" w:rsidRPr="00EF368D" w:rsidRDefault="00575DFF" w:rsidP="00575DFF">
      <w:pPr>
        <w:rPr>
          <w:rFonts w:eastAsia="MS Minngs"/>
          <w:lang w:eastAsia="ja-JP"/>
        </w:rPr>
      </w:pPr>
    </w:p>
    <w:p w14:paraId="1D7FF82B" w14:textId="3E2E7314" w:rsidR="00433728" w:rsidRPr="00EF368D" w:rsidRDefault="00575DFF" w:rsidP="0043372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EF368D">
        <w:rPr>
          <w:rFonts w:ascii="Garamond" w:eastAsia="MS Minngs" w:hAnsi="Garamond" w:cs="Cambria"/>
          <w:b/>
          <w:bCs/>
          <w:lang w:eastAsia="ja-JP"/>
        </w:rPr>
        <w:t xml:space="preserve">Poste </w:t>
      </w:r>
      <w:r>
        <w:rPr>
          <w:rFonts w:ascii="Garamond" w:eastAsia="MS Minngs" w:hAnsi="Garamond" w:cs="Cambria"/>
          <w:b/>
          <w:bCs/>
          <w:lang w:eastAsia="ja-JP"/>
        </w:rPr>
        <w:t xml:space="preserve">en présentiel </w:t>
      </w:r>
      <w:r w:rsidRPr="00EF368D">
        <w:rPr>
          <w:rFonts w:ascii="Garamond" w:eastAsia="MS Minngs" w:hAnsi="Garamond" w:cs="Cambria"/>
          <w:b/>
          <w:bCs/>
          <w:lang w:eastAsia="ja-JP"/>
        </w:rPr>
        <w:t>basé à :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 w:rsidR="00433728">
        <w:rPr>
          <w:rFonts w:ascii="Garamond" w:eastAsia="MS Minngs" w:hAnsi="Garamond" w:cs="Cambria"/>
          <w:lang w:eastAsia="ja-JP"/>
        </w:rPr>
        <w:t>SAINT-DENIS ( RER D</w:t>
      </w:r>
      <w:r w:rsidR="00353B05">
        <w:rPr>
          <w:rFonts w:ascii="Garamond" w:eastAsia="MS Minngs" w:hAnsi="Garamond" w:cs="Cambria"/>
          <w:lang w:eastAsia="ja-JP"/>
        </w:rPr>
        <w:t xml:space="preserve"> </w:t>
      </w:r>
      <w:r w:rsidR="00433728">
        <w:rPr>
          <w:rFonts w:ascii="Garamond" w:eastAsia="MS Minngs" w:hAnsi="Garamond" w:cs="Cambria"/>
          <w:lang w:eastAsia="ja-JP"/>
        </w:rPr>
        <w:t>)</w:t>
      </w:r>
      <w:r w:rsidR="008C6FFF">
        <w:rPr>
          <w:rFonts w:ascii="Garamond" w:eastAsia="MS Minngs" w:hAnsi="Garamond" w:cs="Cambria"/>
          <w:lang w:eastAsia="ja-JP"/>
        </w:rPr>
        <w:t>, du lundi au vendredi</w:t>
      </w:r>
      <w:r w:rsidR="00353B05">
        <w:rPr>
          <w:rFonts w:ascii="Garamond" w:eastAsia="MS Minngs" w:hAnsi="Garamond" w:cs="Cambria"/>
          <w:lang w:eastAsia="ja-JP"/>
        </w:rPr>
        <w:t>.</w:t>
      </w:r>
    </w:p>
    <w:p w14:paraId="6F3272D2" w14:textId="77777777" w:rsidR="00575DFF" w:rsidRPr="00EF368D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7D6BC62A" w14:textId="059B776C" w:rsidR="00575DFF" w:rsidRPr="00EF368D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EF368D">
        <w:rPr>
          <w:rFonts w:ascii="Garamond" w:eastAsia="MS Minngs" w:hAnsi="Garamond" w:cs="Cambria"/>
          <w:b/>
          <w:bCs/>
          <w:lang w:eastAsia="ja-JP"/>
        </w:rPr>
        <w:t>Candidatures :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l</w:t>
      </w:r>
      <w:r w:rsidRPr="00EF368D">
        <w:rPr>
          <w:rFonts w:ascii="Garamond" w:eastAsia="MS Minngs" w:hAnsi="Garamond" w:cs="Cambria"/>
          <w:lang w:eastAsia="ja-JP"/>
        </w:rPr>
        <w:t xml:space="preserve">ettre de motivation </w:t>
      </w:r>
      <w:r w:rsidR="00433728">
        <w:rPr>
          <w:rFonts w:ascii="Garamond" w:eastAsia="MS Minngs" w:hAnsi="Garamond" w:cs="Cambria"/>
          <w:lang w:eastAsia="ja-JP"/>
        </w:rPr>
        <w:t>et</w:t>
      </w:r>
      <w:r w:rsidRPr="00EF368D">
        <w:rPr>
          <w:rFonts w:ascii="Garamond" w:eastAsia="MS Minngs" w:hAnsi="Garamond" w:cs="Cambria"/>
          <w:lang w:eastAsia="ja-JP"/>
        </w:rPr>
        <w:t xml:space="preserve"> curriculum vitae à </w:t>
      </w:r>
      <w:hyperlink r:id="rId7" w:history="1">
        <w:r w:rsidR="00433728" w:rsidRPr="00BE7C45">
          <w:rPr>
            <w:rStyle w:val="Lienhypertexte"/>
            <w:rFonts w:ascii="Garamond" w:eastAsia="MS Minngs" w:hAnsi="Garamond" w:cs="Cambria"/>
            <w:lang w:eastAsia="ja-JP"/>
          </w:rPr>
          <w:t>guillaume.rousseau@sncf.fr</w:t>
        </w:r>
      </w:hyperlink>
      <w:r w:rsidR="00433728">
        <w:rPr>
          <w:rFonts w:ascii="Garamond" w:eastAsia="MS Minngs" w:hAnsi="Garamond" w:cs="Cambria"/>
          <w:lang w:eastAsia="ja-JP"/>
        </w:rPr>
        <w:t xml:space="preserve"> </w:t>
      </w:r>
      <w:r w:rsidRPr="00EF368D">
        <w:rPr>
          <w:rFonts w:ascii="Garamond" w:eastAsia="MS Minngs" w:hAnsi="Garamond" w:cs="Cambria"/>
          <w:lang w:eastAsia="ja-JP"/>
        </w:rPr>
        <w:t xml:space="preserve">et </w:t>
      </w:r>
      <w:hyperlink r:id="rId8" w:history="1">
        <w:r w:rsidR="00433728" w:rsidRPr="00BE7C45">
          <w:rPr>
            <w:rStyle w:val="Lienhypertexte"/>
            <w:rFonts w:ascii="Garamond" w:eastAsia="MS Minngs" w:hAnsi="Garamond" w:cs="Cambria"/>
            <w:lang w:eastAsia="ja-JP"/>
          </w:rPr>
          <w:t>nancy.abenaqui@reseau.sncf.fr</w:t>
        </w:r>
      </w:hyperlink>
      <w:r w:rsidR="00433728">
        <w:rPr>
          <w:rFonts w:ascii="Garamond" w:eastAsia="MS Minngs" w:hAnsi="Garamond" w:cs="Cambria"/>
          <w:lang w:eastAsia="ja-JP"/>
        </w:rPr>
        <w:t xml:space="preserve"> </w:t>
      </w:r>
      <w:r w:rsidRPr="00EF368D">
        <w:rPr>
          <w:rFonts w:ascii="Garamond" w:eastAsia="MS Minngs" w:hAnsi="Garamond" w:cs="Cambria"/>
          <w:lang w:eastAsia="ja-JP"/>
        </w:rPr>
        <w:t>avant le</w:t>
      </w:r>
      <w:r>
        <w:rPr>
          <w:rFonts w:ascii="Garamond" w:eastAsia="MS Minngs" w:hAnsi="Garamond" w:cs="Cambria"/>
          <w:lang w:eastAsia="ja-JP"/>
        </w:rPr>
        <w:t xml:space="preserve"> </w:t>
      </w:r>
      <w:r w:rsidR="00433728">
        <w:rPr>
          <w:rFonts w:ascii="Garamond" w:eastAsia="MS Minngs" w:hAnsi="Garamond" w:cs="Cambria"/>
          <w:lang w:eastAsia="ja-JP"/>
        </w:rPr>
        <w:t>02 septembre 2024</w:t>
      </w:r>
      <w:r w:rsidRPr="00365591">
        <w:rPr>
          <w:rFonts w:ascii="Garamond" w:eastAsia="MS Minngs" w:hAnsi="Garamond" w:cs="Cambria"/>
          <w:lang w:eastAsia="ja-JP"/>
        </w:rPr>
        <w:t>.</w:t>
      </w:r>
    </w:p>
    <w:p w14:paraId="527FDCF0" w14:textId="77777777" w:rsidR="00575DFF" w:rsidRDefault="00575DFF" w:rsidP="00575DFF">
      <w:pPr>
        <w:tabs>
          <w:tab w:val="left" w:pos="1134"/>
        </w:tabs>
        <w:spacing w:before="120" w:after="120" w:line="276" w:lineRule="auto"/>
        <w:ind w:left="1134"/>
        <w:jc w:val="both"/>
      </w:pPr>
    </w:p>
    <w:sectPr w:rsidR="00575DFF" w:rsidSect="00953224">
      <w:footerReference w:type="even" r:id="rId9"/>
      <w:footerReference w:type="default" r:id="rId10"/>
      <w:footerReference w:type="firs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8E62" w14:textId="77777777" w:rsidR="00C565EF" w:rsidRDefault="00C565EF" w:rsidP="00953224">
      <w:pPr>
        <w:spacing w:after="0" w:line="240" w:lineRule="auto"/>
      </w:pPr>
      <w:r>
        <w:separator/>
      </w:r>
    </w:p>
  </w:endnote>
  <w:endnote w:type="continuationSeparator" w:id="0">
    <w:p w14:paraId="3BA208F4" w14:textId="77777777" w:rsidR="00C565EF" w:rsidRDefault="00C565EF" w:rsidP="0095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ngs">
    <w:altName w:val="MS Mincho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rtrait Text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196D" w14:textId="0FA27E5D" w:rsidR="00953224" w:rsidRDefault="0095322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D671CD" wp14:editId="5324B30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Zone de texte 2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E5906" w14:textId="303A1B77" w:rsidR="00953224" w:rsidRPr="00953224" w:rsidRDefault="00953224" w:rsidP="009532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32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671C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 SNCF Réseau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DCE5906" w14:textId="303A1B77" w:rsidR="00953224" w:rsidRPr="00953224" w:rsidRDefault="00953224" w:rsidP="009532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32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09F5" w14:textId="5D40672E" w:rsidR="00953224" w:rsidRDefault="0095322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34102" wp14:editId="7CD41997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Zone de texte 3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842F8" w14:textId="3A2E0820" w:rsidR="00953224" w:rsidRPr="00953224" w:rsidRDefault="00953224" w:rsidP="009532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32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3410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e SNCF Réseau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7F842F8" w14:textId="3A2E0820" w:rsidR="00953224" w:rsidRPr="00953224" w:rsidRDefault="00953224" w:rsidP="009532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32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DAF0" w14:textId="450250FA" w:rsidR="00953224" w:rsidRDefault="0095322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E96FF3" wp14:editId="1FC58B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Zone de texte 1" descr="Interne SNCF Résea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B1043" w14:textId="128BD6F3" w:rsidR="00953224" w:rsidRPr="00953224" w:rsidRDefault="00953224" w:rsidP="009532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3224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 SNCF Réseau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96FF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 SNCF Réseau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A5B1043" w14:textId="128BD6F3" w:rsidR="00953224" w:rsidRPr="00953224" w:rsidRDefault="00953224" w:rsidP="009532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3224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 SNCF Réseau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19A8" w14:textId="77777777" w:rsidR="00C565EF" w:rsidRDefault="00C565EF" w:rsidP="00953224">
      <w:pPr>
        <w:spacing w:after="0" w:line="240" w:lineRule="auto"/>
      </w:pPr>
      <w:r>
        <w:separator/>
      </w:r>
    </w:p>
  </w:footnote>
  <w:footnote w:type="continuationSeparator" w:id="0">
    <w:p w14:paraId="56AF97A3" w14:textId="77777777" w:rsidR="00C565EF" w:rsidRDefault="00C565EF" w:rsidP="0095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10C75"/>
    <w:multiLevelType w:val="hybridMultilevel"/>
    <w:tmpl w:val="D36A25E0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4213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FF"/>
    <w:rsid w:val="000D10C1"/>
    <w:rsid w:val="00276989"/>
    <w:rsid w:val="00353B05"/>
    <w:rsid w:val="003E206B"/>
    <w:rsid w:val="00433728"/>
    <w:rsid w:val="00575DFF"/>
    <w:rsid w:val="00870DB6"/>
    <w:rsid w:val="008C6FFF"/>
    <w:rsid w:val="00953224"/>
    <w:rsid w:val="00C565EF"/>
    <w:rsid w:val="00D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E540"/>
  <w15:chartTrackingRefBased/>
  <w15:docId w15:val="{CFCE0E14-297B-4F5B-86B3-3EBA08B4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575DFF"/>
    <w:pPr>
      <w:keepNext/>
      <w:tabs>
        <w:tab w:val="left" w:pos="567"/>
      </w:tabs>
      <w:spacing w:before="120" w:after="40" w:line="360" w:lineRule="auto"/>
      <w:jc w:val="both"/>
      <w:outlineLvl w:val="2"/>
    </w:pPr>
    <w:rPr>
      <w:rFonts w:ascii="Times" w:eastAsia="Times" w:hAnsi="Times" w:cs="Times New Roman"/>
      <w:b/>
      <w:i/>
      <w:color w:val="000000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75DFF"/>
    <w:rPr>
      <w:rFonts w:ascii="Times" w:eastAsia="Times" w:hAnsi="Times" w:cs="Times New Roman"/>
      <w:b/>
      <w:i/>
      <w:color w:val="000000"/>
      <w:kern w:val="0"/>
      <w:sz w:val="24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75DFF"/>
    <w:pPr>
      <w:tabs>
        <w:tab w:val="left" w:pos="567"/>
      </w:tabs>
      <w:spacing w:before="80" w:after="0" w:line="360" w:lineRule="auto"/>
      <w:ind w:left="720"/>
      <w:contextualSpacing/>
      <w:jc w:val="both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75DF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372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95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abenaqui@reseau.sncf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illaume.rousseau@sncf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ABENAQUI Nancy (SNCF RESEAU / Directions Techniques Réseau / DGOP DTU MAPS)</dc:creator>
  <cp:keywords/>
  <dc:description/>
  <cp:lastModifiedBy>ABENAQUI Nancy (SNCF RESEAU / Directions Techniques Réseau / DGOP DTU MAPS)</cp:lastModifiedBy>
  <cp:revision>3</cp:revision>
  <dcterms:created xsi:type="dcterms:W3CDTF">2024-08-05T14:35:00Z</dcterms:created>
  <dcterms:modified xsi:type="dcterms:W3CDTF">2024-08-05T15:18:00Z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Interne SNCF Réseau</vt:lpwstr>
  </property>
  <property fmtid="{D5CDD505-2E9C-101B-9397-08002B2CF9AE}" pid="5" name="MSIP_Label_67cce88e-ba6c-4072-9a4d-8f9e28d4554f_Enabled">
    <vt:lpwstr>true</vt:lpwstr>
  </property>
  <property fmtid="{D5CDD505-2E9C-101B-9397-08002B2CF9AE}" pid="6" name="MSIP_Label_67cce88e-ba6c-4072-9a4d-8f9e28d4554f_SetDate">
    <vt:lpwstr>2024-08-05T15:10:04Z</vt:lpwstr>
  </property>
  <property fmtid="{D5CDD505-2E9C-101B-9397-08002B2CF9AE}" pid="7" name="MSIP_Label_67cce88e-ba6c-4072-9a4d-8f9e28d4554f_Method">
    <vt:lpwstr>Standard</vt:lpwstr>
  </property>
  <property fmtid="{D5CDD505-2E9C-101B-9397-08002B2CF9AE}" pid="8" name="MSIP_Label_67cce88e-ba6c-4072-9a4d-8f9e28d4554f_Name">
    <vt:lpwstr>Interne - SNCF Réseau</vt:lpwstr>
  </property>
  <property fmtid="{D5CDD505-2E9C-101B-9397-08002B2CF9AE}" pid="9" name="MSIP_Label_67cce88e-ba6c-4072-9a4d-8f9e28d4554f_SiteId">
    <vt:lpwstr>4a7c8238-5799-4b16-9fc6-9ad8fce5a7d9</vt:lpwstr>
  </property>
  <property fmtid="{D5CDD505-2E9C-101B-9397-08002B2CF9AE}" pid="10" name="MSIP_Label_67cce88e-ba6c-4072-9a4d-8f9e28d4554f_ActionId">
    <vt:lpwstr>12e7bfbe-f232-4383-98b3-d5cd73773713</vt:lpwstr>
  </property>
  <property fmtid="{D5CDD505-2E9C-101B-9397-08002B2CF9AE}" pid="11" name="MSIP_Label_67cce88e-ba6c-4072-9a4d-8f9e28d4554f_ContentBits">
    <vt:lpwstr>2</vt:lpwstr>
  </property>
</Properties>
</file>